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33DC0" w14:textId="268FEB2A" w:rsidR="00FE66E7" w:rsidRDefault="00333443" w:rsidP="00400B0F">
      <w:pPr>
        <w:jc w:val="center"/>
        <w:rPr>
          <w:noProof/>
          <w:lang w:eastAsia="en-GB"/>
        </w:rPr>
      </w:pPr>
      <w:r>
        <w:rPr>
          <w:noProof/>
          <w:lang w:eastAsia="en-GB"/>
        </w:rPr>
        <w:drawing>
          <wp:anchor distT="0" distB="0" distL="114300" distR="114300" simplePos="0" relativeHeight="251665408" behindDoc="1" locked="0" layoutInCell="1" allowOverlap="1" wp14:anchorId="3A2F915A" wp14:editId="7CE0EB39">
            <wp:simplePos x="0" y="0"/>
            <wp:positionH relativeFrom="column">
              <wp:posOffset>-313055</wp:posOffset>
            </wp:positionH>
            <wp:positionV relativeFrom="paragraph">
              <wp:posOffset>377190</wp:posOffset>
            </wp:positionV>
            <wp:extent cx="6873240" cy="1414780"/>
            <wp:effectExtent l="0" t="0" r="3810" b="0"/>
            <wp:wrapTight wrapText="bothSides">
              <wp:wrapPolygon edited="0">
                <wp:start x="0" y="0"/>
                <wp:lineTo x="0" y="21232"/>
                <wp:lineTo x="21552" y="21232"/>
                <wp:lineTo x="2155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873240" cy="1414780"/>
                    </a:xfrm>
                    <a:prstGeom prst="rect">
                      <a:avLst/>
                    </a:prstGeom>
                  </pic:spPr>
                </pic:pic>
              </a:graphicData>
            </a:graphic>
            <wp14:sizeRelH relativeFrom="page">
              <wp14:pctWidth>0</wp14:pctWidth>
            </wp14:sizeRelH>
            <wp14:sizeRelV relativeFrom="page">
              <wp14:pctHeight>0</wp14:pctHeight>
            </wp14:sizeRelV>
          </wp:anchor>
        </w:drawing>
      </w:r>
      <w:r w:rsidR="00F54B1F" w:rsidRPr="00F54B1F">
        <w:rPr>
          <w:noProof/>
          <w:color w:val="FF0000"/>
          <w:lang w:eastAsia="en-GB"/>
        </w:rPr>
        <w:t xml:space="preserve"> </w:t>
      </w:r>
    </w:p>
    <w:p w14:paraId="5B4A261D" w14:textId="6C878897" w:rsidR="008E53C7" w:rsidRPr="00CE7ECC" w:rsidRDefault="00F21ECA" w:rsidP="00400B0F">
      <w:pPr>
        <w:pStyle w:val="Reporttitledarkgreen"/>
        <w:spacing w:line="360" w:lineRule="auto"/>
        <w:rPr>
          <w:color w:val="008938"/>
        </w:rPr>
      </w:pPr>
      <w:r w:rsidRPr="00CE7ECC">
        <w:rPr>
          <w:color w:val="008938"/>
        </w:rPr>
        <w:t>2021 Air Quality Annual Status Report (ASR)</w:t>
      </w:r>
    </w:p>
    <w:p w14:paraId="46A5076B" w14:textId="77777777" w:rsidR="00EE32ED" w:rsidRPr="00CE7ECC" w:rsidRDefault="00F21ECA" w:rsidP="00400B0F">
      <w:pPr>
        <w:pStyle w:val="Reportsubtitle"/>
        <w:spacing w:line="360" w:lineRule="auto"/>
      </w:pPr>
      <w:r w:rsidRPr="00CE7ECC">
        <w:t>In fulfilment of Part IV of the Environment Act 1995 Local Air Quality Management</w:t>
      </w:r>
    </w:p>
    <w:p w14:paraId="441A7F65" w14:textId="4C1C1797" w:rsidR="00261CCA" w:rsidRDefault="00261CCA" w:rsidP="00400B0F">
      <w:pPr>
        <w:pStyle w:val="Dateandversion"/>
      </w:pPr>
      <w:r>
        <w:t xml:space="preserve">Date: </w:t>
      </w:r>
      <w:r w:rsidR="008D2F19" w:rsidRPr="00C13A88">
        <w:t>June</w:t>
      </w:r>
      <w:r w:rsidR="00F21ECA" w:rsidRPr="00C13A88">
        <w:t>,</w:t>
      </w:r>
      <w:r w:rsidRPr="00C13A88">
        <w:t xml:space="preserve"> </w:t>
      </w:r>
      <w:r w:rsidR="008D2F19" w:rsidRPr="00C13A88">
        <w:t>2021</w:t>
      </w:r>
    </w:p>
    <w:p w14:paraId="066C2907" w14:textId="77777777" w:rsidR="00E97EAE" w:rsidRDefault="00E97EAE" w:rsidP="00400B0F">
      <w:pPr>
        <w:pStyle w:val="Dateandversion"/>
      </w:pPr>
    </w:p>
    <w:p w14:paraId="3678C385" w14:textId="77777777" w:rsidR="00FE66E7" w:rsidRDefault="00FE66E7" w:rsidP="00400B0F">
      <w:pPr>
        <w:rPr>
          <w:color w:val="008631"/>
          <w:sz w:val="48"/>
        </w:rPr>
        <w:sectPr w:rsidR="00FE66E7" w:rsidSect="00FE66E7">
          <w:headerReference w:type="first" r:id="rId12"/>
          <w:footerReference w:type="first" r:id="rId13"/>
          <w:type w:val="continuous"/>
          <w:pgSz w:w="11899" w:h="16838" w:code="9"/>
          <w:pgMar w:top="1134" w:right="1134" w:bottom="1134" w:left="1134" w:header="340" w:footer="340" w:gutter="0"/>
          <w:pgNumType w:start="0"/>
          <w:cols w:space="708"/>
          <w:vAlign w:val="center"/>
          <w:docGrid w:linePitch="326"/>
        </w:sectPr>
      </w:pPr>
      <w:bookmarkStart w:id="0" w:name="_Toc473641177"/>
    </w:p>
    <w:tbl>
      <w:tblPr>
        <w:tblStyle w:val="TableStyle4"/>
        <w:tblW w:w="0" w:type="auto"/>
        <w:tblLook w:val="04A0" w:firstRow="1" w:lastRow="0" w:firstColumn="1" w:lastColumn="0" w:noHBand="0" w:noVBand="1"/>
      </w:tblPr>
      <w:tblGrid>
        <w:gridCol w:w="4805"/>
        <w:gridCol w:w="4806"/>
      </w:tblGrid>
      <w:tr w:rsidR="00A21119" w:rsidRPr="00116356" w14:paraId="1A12A55F" w14:textId="77777777" w:rsidTr="00A406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5" w:type="dxa"/>
          </w:tcPr>
          <w:p w14:paraId="6347ACF8" w14:textId="102E20C2" w:rsidR="00A21119" w:rsidRPr="00662FDC" w:rsidRDefault="000D6DDF" w:rsidP="00B0163A">
            <w:pPr>
              <w:spacing w:line="240" w:lineRule="auto"/>
            </w:pPr>
            <w:bookmarkStart w:id="1" w:name="_Toc522629670"/>
            <w:bookmarkEnd w:id="0"/>
            <w:r>
              <w:t>Information</w:t>
            </w:r>
          </w:p>
        </w:tc>
        <w:tc>
          <w:tcPr>
            <w:tcW w:w="4806" w:type="dxa"/>
          </w:tcPr>
          <w:p w14:paraId="4FC38002" w14:textId="6F713101" w:rsidR="00A21119" w:rsidRPr="009F3090" w:rsidRDefault="007D2753" w:rsidP="00B0163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rPr>
            </w:pPr>
            <w:r w:rsidRPr="009F3090">
              <w:rPr>
                <w:rFonts w:ascii="Arial" w:hAnsi="Arial" w:cs="Arial"/>
                <w:bCs/>
              </w:rPr>
              <w:t>South Tyneside Council</w:t>
            </w:r>
            <w:r w:rsidR="00662FDC" w:rsidRPr="009F3090">
              <w:rPr>
                <w:rFonts w:ascii="Arial" w:hAnsi="Arial" w:cs="Arial"/>
                <w:bCs/>
              </w:rPr>
              <w:t xml:space="preserve"> Details</w:t>
            </w:r>
          </w:p>
        </w:tc>
      </w:tr>
      <w:tr w:rsidR="00E97EAE" w:rsidRPr="00116356" w14:paraId="4B69C130"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585EDC6A" w14:textId="58601611" w:rsidR="00E97EAE" w:rsidRPr="00662FDC" w:rsidRDefault="00E97EAE" w:rsidP="00B0163A">
            <w:pPr>
              <w:spacing w:line="240" w:lineRule="auto"/>
              <w:rPr>
                <w:b/>
                <w:bCs/>
                <w:u w:color="FFFFFF" w:themeColor="background1"/>
              </w:rPr>
            </w:pPr>
            <w:r w:rsidRPr="00662FDC">
              <w:rPr>
                <w:b/>
                <w:bCs/>
              </w:rPr>
              <w:t>Local Authority Officer</w:t>
            </w:r>
          </w:p>
        </w:tc>
        <w:tc>
          <w:tcPr>
            <w:tcW w:w="4806" w:type="dxa"/>
          </w:tcPr>
          <w:p w14:paraId="4A3AC378" w14:textId="61E59478" w:rsidR="00E97EAE" w:rsidRPr="009F3090" w:rsidRDefault="00EB69D5"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Kevin Burrell</w:t>
            </w:r>
          </w:p>
        </w:tc>
      </w:tr>
      <w:tr w:rsidR="00E97EAE" w:rsidRPr="00116356" w14:paraId="430419EF"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33252C2D" w14:textId="76D1DB1D" w:rsidR="00E97EAE" w:rsidRPr="00662FDC" w:rsidRDefault="00E97EAE" w:rsidP="00B0163A">
            <w:pPr>
              <w:spacing w:line="240" w:lineRule="auto"/>
              <w:rPr>
                <w:b/>
                <w:u w:color="FFFFFF" w:themeColor="background1"/>
              </w:rPr>
            </w:pPr>
            <w:r w:rsidRPr="00662FDC">
              <w:rPr>
                <w:b/>
                <w:u w:color="FFFFFF" w:themeColor="background1"/>
              </w:rPr>
              <w:t>Department</w:t>
            </w:r>
          </w:p>
        </w:tc>
        <w:tc>
          <w:tcPr>
            <w:tcW w:w="4806" w:type="dxa"/>
          </w:tcPr>
          <w:p w14:paraId="341C76BE" w14:textId="4890EF2A" w:rsidR="00E97EAE" w:rsidRPr="009F3090" w:rsidRDefault="00EB69D5"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Environmental Health </w:t>
            </w:r>
          </w:p>
        </w:tc>
      </w:tr>
      <w:tr w:rsidR="00E97EAE" w:rsidRPr="00116356" w14:paraId="1C5DF9DF"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0F63C789" w14:textId="2005E5E9" w:rsidR="00E97EAE" w:rsidRPr="00662FDC" w:rsidRDefault="00E97EAE" w:rsidP="00B0163A">
            <w:pPr>
              <w:spacing w:line="240" w:lineRule="auto"/>
              <w:rPr>
                <w:b/>
                <w:u w:color="FFFFFF" w:themeColor="background1"/>
              </w:rPr>
            </w:pPr>
            <w:r w:rsidRPr="00662FDC">
              <w:rPr>
                <w:b/>
                <w:u w:color="FFFFFF" w:themeColor="background1"/>
              </w:rPr>
              <w:t>Address</w:t>
            </w:r>
          </w:p>
        </w:tc>
        <w:tc>
          <w:tcPr>
            <w:tcW w:w="4806" w:type="dxa"/>
          </w:tcPr>
          <w:p w14:paraId="01EA80DB" w14:textId="371CADEA" w:rsidR="00E97EAE" w:rsidRPr="009F3090" w:rsidRDefault="007D2753"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rsidRPr="009F3090">
              <w:t>Town Hall, Westoe Road, South Shields</w:t>
            </w:r>
          </w:p>
        </w:tc>
      </w:tr>
      <w:tr w:rsidR="00E97EAE" w:rsidRPr="00116356" w14:paraId="026526DD"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5C47AF36" w14:textId="6B7A30C5" w:rsidR="00E97EAE" w:rsidRPr="00662FDC" w:rsidRDefault="00E97EAE" w:rsidP="00B0163A">
            <w:pPr>
              <w:spacing w:line="240" w:lineRule="auto"/>
              <w:rPr>
                <w:b/>
                <w:u w:color="FFFFFF" w:themeColor="background1"/>
              </w:rPr>
            </w:pPr>
            <w:r w:rsidRPr="00662FDC">
              <w:rPr>
                <w:b/>
                <w:u w:color="FFFFFF" w:themeColor="background1"/>
              </w:rPr>
              <w:t>Telephone</w:t>
            </w:r>
          </w:p>
        </w:tc>
        <w:tc>
          <w:tcPr>
            <w:tcW w:w="4806" w:type="dxa"/>
          </w:tcPr>
          <w:p w14:paraId="45199B3C" w14:textId="4865EFD9" w:rsidR="00E97EAE" w:rsidRPr="009F3090" w:rsidRDefault="00CE2DD7"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0191 424 </w:t>
            </w:r>
            <w:r w:rsidR="00EB69D5">
              <w:rPr>
                <w:rFonts w:cs="Arial"/>
              </w:rPr>
              <w:t>7836</w:t>
            </w:r>
          </w:p>
        </w:tc>
      </w:tr>
      <w:tr w:rsidR="00E97EAE" w:rsidRPr="00116356" w14:paraId="6E945C78"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7D90AC7F" w14:textId="2EE5F8E8" w:rsidR="00E97EAE" w:rsidRPr="00662FDC" w:rsidRDefault="00E97EAE" w:rsidP="00B0163A">
            <w:pPr>
              <w:spacing w:line="240" w:lineRule="auto"/>
              <w:rPr>
                <w:b/>
                <w:u w:color="FFFFFF" w:themeColor="background1"/>
              </w:rPr>
            </w:pPr>
            <w:r w:rsidRPr="00662FDC">
              <w:rPr>
                <w:b/>
                <w:u w:color="FFFFFF" w:themeColor="background1"/>
              </w:rPr>
              <w:t>E-mail</w:t>
            </w:r>
          </w:p>
        </w:tc>
        <w:tc>
          <w:tcPr>
            <w:tcW w:w="4806" w:type="dxa"/>
          </w:tcPr>
          <w:p w14:paraId="32367788" w14:textId="137CB949" w:rsidR="00E97EAE" w:rsidRPr="009F3090" w:rsidRDefault="00B6413C"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hyperlink r:id="rId14" w:history="1">
              <w:r w:rsidR="00EB69D5" w:rsidRPr="008373C6">
                <w:rPr>
                  <w:rStyle w:val="Hyperlink"/>
                  <w:rFonts w:cs="Arial"/>
                </w:rPr>
                <w:t>Kevin.burrell@southtyneside.gov.uk</w:t>
              </w:r>
            </w:hyperlink>
          </w:p>
        </w:tc>
      </w:tr>
      <w:tr w:rsidR="00E97EAE" w:rsidRPr="00116356" w14:paraId="76DBBCD1"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4CAC4D0C" w14:textId="2B1B673E" w:rsidR="00E97EAE" w:rsidRPr="00662FDC" w:rsidRDefault="00E97EAE" w:rsidP="00B0163A">
            <w:pPr>
              <w:spacing w:line="240" w:lineRule="auto"/>
              <w:rPr>
                <w:b/>
                <w:u w:color="FFFFFF" w:themeColor="background1"/>
              </w:rPr>
            </w:pPr>
            <w:r w:rsidRPr="00662FDC">
              <w:rPr>
                <w:b/>
                <w:u w:color="FFFFFF" w:themeColor="background1"/>
              </w:rPr>
              <w:t>Report Reference Number</w:t>
            </w:r>
          </w:p>
        </w:tc>
        <w:tc>
          <w:tcPr>
            <w:tcW w:w="4806" w:type="dxa"/>
          </w:tcPr>
          <w:p w14:paraId="09149D1B" w14:textId="74070242" w:rsidR="00E97EAE" w:rsidRPr="009F3090" w:rsidRDefault="00EB69D5"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t>STC/ASR202</w:t>
            </w:r>
            <w:r w:rsidR="009E1229">
              <w:t>1</w:t>
            </w:r>
          </w:p>
        </w:tc>
      </w:tr>
      <w:tr w:rsidR="00E97EAE" w:rsidRPr="00116356" w14:paraId="31C83321"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40F8F1EA" w14:textId="26C22355" w:rsidR="00E97EAE" w:rsidRPr="00662FDC" w:rsidRDefault="00E97EAE" w:rsidP="00B0163A">
            <w:pPr>
              <w:spacing w:line="240" w:lineRule="auto"/>
              <w:rPr>
                <w:b/>
                <w:u w:color="FFFFFF" w:themeColor="background1"/>
              </w:rPr>
            </w:pPr>
            <w:r w:rsidRPr="00662FDC">
              <w:rPr>
                <w:b/>
                <w:u w:color="FFFFFF" w:themeColor="background1"/>
              </w:rPr>
              <w:t>Date</w:t>
            </w:r>
          </w:p>
        </w:tc>
        <w:tc>
          <w:tcPr>
            <w:tcW w:w="4806" w:type="dxa"/>
          </w:tcPr>
          <w:p w14:paraId="2965645E" w14:textId="02C64C2C" w:rsidR="00E97EAE" w:rsidRPr="009F3090" w:rsidRDefault="009E1229" w:rsidP="009E1229">
            <w:pPr>
              <w:spacing w:line="240" w:lineRule="auto"/>
              <w:ind w:left="0"/>
              <w:cnfStyle w:val="000000000000" w:firstRow="0" w:lastRow="0" w:firstColumn="0" w:lastColumn="0" w:oddVBand="0" w:evenVBand="0" w:oddHBand="0" w:evenHBand="0" w:firstRowFirstColumn="0" w:firstRowLastColumn="0" w:lastRowFirstColumn="0" w:lastRowLastColumn="0"/>
              <w:rPr>
                <w:rFonts w:cs="Arial"/>
              </w:rPr>
            </w:pPr>
            <w:r>
              <w:rPr>
                <w:rFonts w:cs="Arial"/>
              </w:rPr>
              <w:t>24</w:t>
            </w:r>
            <w:r w:rsidRPr="009E1229">
              <w:rPr>
                <w:rFonts w:cs="Arial"/>
                <w:vertAlign w:val="superscript"/>
              </w:rPr>
              <w:t>th</w:t>
            </w:r>
            <w:r>
              <w:rPr>
                <w:rFonts w:cs="Arial"/>
              </w:rPr>
              <w:t xml:space="preserve"> June 2021</w:t>
            </w:r>
          </w:p>
        </w:tc>
      </w:tr>
    </w:tbl>
    <w:p w14:paraId="2E1CC27C" w14:textId="77777777" w:rsidR="007B390C" w:rsidRDefault="007B390C" w:rsidP="00400B0F">
      <w:pPr>
        <w:pStyle w:val="Heading1"/>
        <w:numPr>
          <w:ilvl w:val="0"/>
          <w:numId w:val="0"/>
        </w:numPr>
        <w:sectPr w:rsidR="007B390C" w:rsidSect="008E5727">
          <w:headerReference w:type="default" r:id="rId15"/>
          <w:footerReference w:type="default" r:id="rId16"/>
          <w:pgSz w:w="11899" w:h="16838" w:code="9"/>
          <w:pgMar w:top="1134" w:right="1134" w:bottom="1134" w:left="1134" w:header="340" w:footer="340" w:gutter="0"/>
          <w:pgNumType w:fmt="lowerRoman" w:start="1"/>
          <w:cols w:space="708"/>
          <w:docGrid w:linePitch="326"/>
        </w:sectPr>
      </w:pPr>
    </w:p>
    <w:p w14:paraId="3D0A485E" w14:textId="77777777" w:rsidR="00BB7696" w:rsidRDefault="00A21119" w:rsidP="00BB7696">
      <w:pPr>
        <w:pStyle w:val="Heading1"/>
        <w:numPr>
          <w:ilvl w:val="0"/>
          <w:numId w:val="0"/>
        </w:numPr>
      </w:pPr>
      <w:bookmarkStart w:id="2" w:name="_Toc75438369"/>
      <w:r>
        <w:t>Executive Summary: Air Quality in Our Area</w:t>
      </w:r>
      <w:bookmarkEnd w:id="2"/>
    </w:p>
    <w:p w14:paraId="151DE3BC" w14:textId="10C051AE" w:rsidR="00C04D38" w:rsidRDefault="00C04D38" w:rsidP="00BB7696">
      <w:pPr>
        <w:pStyle w:val="Heading1"/>
        <w:numPr>
          <w:ilvl w:val="0"/>
          <w:numId w:val="0"/>
        </w:numPr>
      </w:pPr>
      <w:bookmarkStart w:id="3" w:name="_Toc75438370"/>
      <w:r>
        <w:t xml:space="preserve">Air </w:t>
      </w:r>
      <w:r w:rsidRPr="009F3090">
        <w:t xml:space="preserve">Quality in </w:t>
      </w:r>
      <w:r w:rsidR="009F3090" w:rsidRPr="009F3090">
        <w:t>South Tyneside</w:t>
      </w:r>
      <w:bookmarkEnd w:id="3"/>
    </w:p>
    <w:p w14:paraId="36B6501B" w14:textId="4C515950" w:rsidR="00C04D38" w:rsidRDefault="00C04D38" w:rsidP="00400B0F">
      <w:r>
        <w:t>Air pollution is associated with a number of adverse health impacts. It is recognised as a contributing factor in the onset of heart disease and cancer</w:t>
      </w:r>
      <w:r w:rsidR="006F04A8">
        <w:t xml:space="preserve">. </w:t>
      </w:r>
      <w:r>
        <w:t>Additionally, air pollution particularly affects the most vulnerable in society: children</w:t>
      </w:r>
      <w:r w:rsidR="001F33E6">
        <w:t>,</w:t>
      </w:r>
      <w:r>
        <w:t xml:space="preserve"> </w:t>
      </w:r>
      <w:r w:rsidR="001F33E6">
        <w:t>the elderly</w:t>
      </w:r>
      <w:r>
        <w:t xml:space="preserve">, and those with </w:t>
      </w:r>
      <w:r w:rsidR="001F33E6">
        <w:t xml:space="preserve">existing </w:t>
      </w:r>
      <w:r>
        <w:t>heart and lung conditions. There is also often a strong correlation with equalities issues because areas with poor air quality are also often less affluent areas</w:t>
      </w:r>
      <w:r>
        <w:rPr>
          <w:rStyle w:val="FootnoteReference"/>
        </w:rPr>
        <w:footnoteReference w:id="2"/>
      </w:r>
      <w:r w:rsidRPr="00C04D38">
        <w:rPr>
          <w:vertAlign w:val="superscript"/>
        </w:rPr>
        <w:t>,</w:t>
      </w:r>
      <w:r>
        <w:rPr>
          <w:rStyle w:val="FootnoteReference"/>
        </w:rPr>
        <w:footnoteReference w:id="3"/>
      </w:r>
      <w:r>
        <w:t>.</w:t>
      </w:r>
    </w:p>
    <w:p w14:paraId="0B2BE71D" w14:textId="17F1D3EB" w:rsidR="00C04D38" w:rsidRDefault="00C04D38" w:rsidP="00400B0F">
      <w:r>
        <w:t xml:space="preserve">The </w:t>
      </w:r>
      <w:r w:rsidR="001D2683">
        <w:t>mortality burden of air pollution within the UK is equivalent to 28,000 to 36,000 deaths at typical ages</w:t>
      </w:r>
      <w:r w:rsidR="001D2683">
        <w:rPr>
          <w:rStyle w:val="FootnoteReference"/>
        </w:rPr>
        <w:footnoteReference w:id="4"/>
      </w:r>
      <w:r w:rsidR="001D2683">
        <w:t xml:space="preserve">, with a total </w:t>
      </w:r>
      <w:r w:rsidR="001F33E6">
        <w:t xml:space="preserve">estimated healthcare </w:t>
      </w:r>
      <w:r>
        <w:t xml:space="preserve">cost to </w:t>
      </w:r>
      <w:r w:rsidR="001F33E6">
        <w:t>the NHS and social care of £157 million in 2017</w:t>
      </w:r>
      <w:r>
        <w:rPr>
          <w:rStyle w:val="FootnoteReference"/>
        </w:rPr>
        <w:footnoteReference w:id="5"/>
      </w:r>
      <w:r>
        <w:t>.</w:t>
      </w:r>
    </w:p>
    <w:p w14:paraId="17B5B7C7" w14:textId="77777777" w:rsidR="00EA3F08" w:rsidRPr="006F2A59" w:rsidRDefault="00EA3F08" w:rsidP="00EA3F08">
      <w:pPr>
        <w:pStyle w:val="Style1"/>
        <w:jc w:val="both"/>
      </w:pPr>
      <w:r w:rsidRPr="006F2A59">
        <w:t>South Tyneside Council</w:t>
      </w:r>
      <w:r>
        <w:t xml:space="preserve"> adopts a collaborative, corporate-wide approach to air quality led by its Development Services</w:t>
      </w:r>
      <w:r w:rsidRPr="006F2A59">
        <w:t xml:space="preserve"> </w:t>
      </w:r>
      <w:r>
        <w:t>T</w:t>
      </w:r>
      <w:r w:rsidRPr="00604047">
        <w:t>eam</w:t>
      </w:r>
      <w:r>
        <w:t xml:space="preserve">. </w:t>
      </w:r>
      <w:r w:rsidRPr="00604047">
        <w:t xml:space="preserve"> </w:t>
      </w:r>
      <w:r>
        <w:t>Within Development Services, the Environmental Health Unit is</w:t>
      </w:r>
      <w:r w:rsidRPr="00604047">
        <w:t xml:space="preserve"> responsible for overseeing local air quality ma</w:t>
      </w:r>
      <w:r w:rsidRPr="00FA6A71">
        <w:t>nagement</w:t>
      </w:r>
      <w:r>
        <w:t>,</w:t>
      </w:r>
      <w:r w:rsidRPr="00FA6A71">
        <w:t xml:space="preserve"> including </w:t>
      </w:r>
      <w:r>
        <w:t>air quality</w:t>
      </w:r>
      <w:r w:rsidRPr="00FA6A71">
        <w:t xml:space="preserve"> monitoring and reporting results to the Department of Environment, F</w:t>
      </w:r>
      <w:r>
        <w:t xml:space="preserve">ood and Rural Affairs (Defra). </w:t>
      </w:r>
      <w:r w:rsidRPr="00FA6A71">
        <w:t xml:space="preserve">Close working relationships with transport, public health and </w:t>
      </w:r>
      <w:r>
        <w:t xml:space="preserve">spatial </w:t>
      </w:r>
      <w:r w:rsidRPr="00FA6A71">
        <w:t>planning colleagues</w:t>
      </w:r>
      <w:r w:rsidRPr="006F2A59">
        <w:t xml:space="preserve"> are important to improve air quality </w:t>
      </w:r>
      <w:r>
        <w:t>as a consequence of</w:t>
      </w:r>
      <w:r w:rsidRPr="006F2A59">
        <w:t xml:space="preserve"> transport and public health initiatives and also </w:t>
      </w:r>
      <w:r>
        <w:t>through</w:t>
      </w:r>
      <w:r w:rsidRPr="006F2A59">
        <w:t xml:space="preserve"> routine planning applications that may impact upon air quality.</w:t>
      </w:r>
    </w:p>
    <w:p w14:paraId="0F8A8388" w14:textId="77777777" w:rsidR="00EA3F08" w:rsidRPr="00FA6A71" w:rsidRDefault="00EA3F08" w:rsidP="00EA3F08">
      <w:pPr>
        <w:pStyle w:val="Style1"/>
        <w:jc w:val="both"/>
      </w:pPr>
      <w:r w:rsidRPr="006F2A59">
        <w:t>There are several principal air pollutants produced by industrial, domestic and traffic sources they include</w:t>
      </w:r>
      <w:r>
        <w:t>:</w:t>
      </w:r>
      <w:r w:rsidRPr="006F2A59">
        <w:t xml:space="preserve"> sulphur dioxide; nitrogen oxide/ nitrogen dioxide (NO</w:t>
      </w:r>
      <w:r w:rsidRPr="006F2A59">
        <w:rPr>
          <w:vertAlign w:val="subscript"/>
        </w:rPr>
        <w:t>2</w:t>
      </w:r>
      <w:r w:rsidRPr="00FA5C21">
        <w:t>); PM</w:t>
      </w:r>
      <w:r w:rsidRPr="006F2A59">
        <w:rPr>
          <w:vertAlign w:val="subscript"/>
        </w:rPr>
        <w:t>10</w:t>
      </w:r>
      <w:r w:rsidRPr="00FA5C21">
        <w:t xml:space="preserve"> and PM</w:t>
      </w:r>
      <w:r w:rsidRPr="006F2A59">
        <w:rPr>
          <w:vertAlign w:val="subscript"/>
        </w:rPr>
        <w:t>2.5</w:t>
      </w:r>
      <w:r w:rsidRPr="00FA5C21">
        <w:t xml:space="preserve">; ozone and volatile organic compounds; toxic organic micro pollutants; 1-3 butadiene; </w:t>
      </w:r>
      <w:r w:rsidRPr="00FA6A71">
        <w:t xml:space="preserve">benzene; carbon monoxide; lead and heavy metals. </w:t>
      </w:r>
    </w:p>
    <w:p w14:paraId="4FE4C4AF" w14:textId="77777777" w:rsidR="00EA3F08" w:rsidRPr="006F2A59" w:rsidRDefault="00EA3F08" w:rsidP="00EA3F08">
      <w:pPr>
        <w:pStyle w:val="Style1"/>
        <w:jc w:val="both"/>
      </w:pPr>
      <w:r w:rsidRPr="006F2A59">
        <w:t>Historically</w:t>
      </w:r>
      <w:r>
        <w:t>,</w:t>
      </w:r>
      <w:r w:rsidRPr="006F2A59">
        <w:t xml:space="preserve"> the main air pollutants have been high levels of smoke and sulphur dioxide emitted by combustion of sulphur containing fossil fuels i.e. coal,</w:t>
      </w:r>
      <w:r>
        <w:t xml:space="preserve"> however</w:t>
      </w:r>
      <w:r w:rsidRPr="006F2A59">
        <w:t xml:space="preserve"> </w:t>
      </w:r>
      <w:r>
        <w:t>currently</w:t>
      </w:r>
      <w:r w:rsidRPr="006F2A59">
        <w:t xml:space="preserve"> the main air pollutant threat occurs from traffic emissions.</w:t>
      </w:r>
    </w:p>
    <w:p w14:paraId="165A43F8" w14:textId="77777777" w:rsidR="00EA3F08" w:rsidRPr="00FA6A71" w:rsidRDefault="00EA3F08" w:rsidP="00EA3F08">
      <w:pPr>
        <w:pStyle w:val="Style1"/>
        <w:jc w:val="both"/>
      </w:pPr>
      <w:r w:rsidRPr="006F2A59">
        <w:t>Nitrogen Dioxide (NO</w:t>
      </w:r>
      <w:r w:rsidRPr="006F2A59">
        <w:rPr>
          <w:vertAlign w:val="subscript"/>
        </w:rPr>
        <w:t>2</w:t>
      </w:r>
      <w:r w:rsidRPr="00FA5C21">
        <w:t>) and Nitric Oxide (NO) are both oxides of nitrogen, and are collectively referred to as nitrogen oxi</w:t>
      </w:r>
      <w:r w:rsidRPr="00FA6A71">
        <w:t>des (NOx). All combustion processes produce NOx emissions, largely in the form of nitric oxides, which is then converted to nitrogen dioxide (NO</w:t>
      </w:r>
      <w:r w:rsidRPr="006F2A59">
        <w:rPr>
          <w:vertAlign w:val="subscript"/>
        </w:rPr>
        <w:t>2</w:t>
      </w:r>
      <w:r w:rsidRPr="00FA5C21">
        <w:t>). Nitric oxide (NO) is mainly derived from road transport emissions and other combustion processes such as the</w:t>
      </w:r>
      <w:r w:rsidRPr="00FA6A71">
        <w:t xml:space="preserve"> electricity supply industry.</w:t>
      </w:r>
    </w:p>
    <w:p w14:paraId="1FEE4522" w14:textId="77777777" w:rsidR="00EA3F08" w:rsidRPr="00FA6A71" w:rsidRDefault="00EA3F08" w:rsidP="00EA3F08">
      <w:pPr>
        <w:pStyle w:val="Style1"/>
        <w:jc w:val="both"/>
      </w:pPr>
      <w:r w:rsidRPr="006F2A59">
        <w:t xml:space="preserve">The </w:t>
      </w:r>
      <w:r>
        <w:t xml:space="preserve">principal </w:t>
      </w:r>
      <w:r w:rsidRPr="00604047">
        <w:t>source of Nitrogen Dioxide is road transport; combustion processes such as power generation and industrial processes also provide a significant contribution. The main contribution within South Tyneside is from road traffic.</w:t>
      </w:r>
    </w:p>
    <w:p w14:paraId="12DEDA22" w14:textId="77777777" w:rsidR="00EA3F08" w:rsidRDefault="00EA3F08" w:rsidP="00EA3F08">
      <w:pPr>
        <w:pStyle w:val="Style1"/>
        <w:jc w:val="both"/>
      </w:pPr>
      <w:r w:rsidRPr="006F2A59">
        <w:t>South Tyneside Council ceased monitoring Sulphur Dioxide due to continued compliance during previous rounds of review and assessment.</w:t>
      </w:r>
    </w:p>
    <w:p w14:paraId="0A630759" w14:textId="77777777" w:rsidR="00EA3F08" w:rsidRPr="006F2A59" w:rsidRDefault="00EA3F08" w:rsidP="00EA3F08">
      <w:pPr>
        <w:pStyle w:val="Style1"/>
        <w:jc w:val="both"/>
        <w:rPr>
          <w:szCs w:val="18"/>
        </w:rPr>
      </w:pPr>
      <w:r w:rsidRPr="006F2A59">
        <w:rPr>
          <w:szCs w:val="18"/>
        </w:rPr>
        <w:t xml:space="preserve">Together, Environmental Health, Transport and Public Health colleagues are striving to reduce pollutant levels throughout the </w:t>
      </w:r>
      <w:r>
        <w:rPr>
          <w:szCs w:val="18"/>
        </w:rPr>
        <w:t>B</w:t>
      </w:r>
      <w:r w:rsidRPr="006F2A59">
        <w:rPr>
          <w:szCs w:val="18"/>
        </w:rPr>
        <w:t xml:space="preserve">orough even further to improve air quality and the health and wellbeing of residents.  Various initiatives are discussed within this report and further information can be found </w:t>
      </w:r>
      <w:r>
        <w:rPr>
          <w:szCs w:val="18"/>
        </w:rPr>
        <w:t>in</w:t>
      </w:r>
      <w:r w:rsidRPr="006F2A59">
        <w:rPr>
          <w:szCs w:val="18"/>
        </w:rPr>
        <w:t xml:space="preserve"> the links provided.  </w:t>
      </w:r>
    </w:p>
    <w:p w14:paraId="141D8F44" w14:textId="77777777" w:rsidR="00EA3F08" w:rsidRPr="006F2A59" w:rsidRDefault="00EA3F08" w:rsidP="00EA3F08">
      <w:pPr>
        <w:pStyle w:val="Style1"/>
        <w:jc w:val="both"/>
        <w:rPr>
          <w:szCs w:val="18"/>
        </w:rPr>
      </w:pPr>
      <w:r w:rsidRPr="006F2A59">
        <w:rPr>
          <w:szCs w:val="18"/>
        </w:rPr>
        <w:t>We shall continue to undertake continuous and non-continuous monitoring; all monitoring results can be found within Appendix A.</w:t>
      </w:r>
    </w:p>
    <w:p w14:paraId="4D0DE471" w14:textId="77777777" w:rsidR="00EA3F08" w:rsidRPr="00D50410" w:rsidRDefault="00EA3F08" w:rsidP="00EA3F08">
      <w:pPr>
        <w:pStyle w:val="Style1"/>
        <w:spacing w:before="0"/>
        <w:jc w:val="both"/>
      </w:pPr>
      <w:r w:rsidRPr="006F2A59">
        <w:t>Air quality is everyone’s business and there are various ways that residents and businesses can improve local air quality.</w:t>
      </w:r>
      <w:r>
        <w:t xml:space="preserve">  </w:t>
      </w:r>
    </w:p>
    <w:p w14:paraId="2E4E0C11" w14:textId="77777777" w:rsidR="00C04D38" w:rsidRDefault="00C04D38" w:rsidP="0062374A">
      <w:pPr>
        <w:pStyle w:val="Heading2"/>
      </w:pPr>
      <w:bookmarkStart w:id="4" w:name="_Toc75438371"/>
      <w:r>
        <w:t>Actions to Improve Air Quality</w:t>
      </w:r>
      <w:bookmarkEnd w:id="4"/>
    </w:p>
    <w:p w14:paraId="38CDD927" w14:textId="77777777" w:rsidR="009942D7" w:rsidRDefault="009656B0" w:rsidP="00400B0F">
      <w:r>
        <w:t xml:space="preserve">Whilst air quality has improved significantly in recent </w:t>
      </w:r>
      <w:r w:rsidR="007A2F57">
        <w:t>decades and</w:t>
      </w:r>
      <w:r>
        <w:t xml:space="preserve"> will continue to improve due to </w:t>
      </w:r>
      <w:r w:rsidR="006E339A">
        <w:t>national policy decisions</w:t>
      </w:r>
      <w:r>
        <w:t xml:space="preserve">, </w:t>
      </w:r>
      <w:r w:rsidR="009D313F">
        <w:t>there are some areas where local action is needed to improve air quality further</w:t>
      </w:r>
      <w:r>
        <w:t>.</w:t>
      </w:r>
      <w:r w:rsidR="00DC1784">
        <w:t xml:space="preserve"> </w:t>
      </w:r>
    </w:p>
    <w:p w14:paraId="0331BB6D" w14:textId="67155795" w:rsidR="00C04D38" w:rsidRDefault="008C294D" w:rsidP="00400B0F">
      <w:r>
        <w:t>The</w:t>
      </w:r>
      <w:r w:rsidR="009D313F">
        <w:t xml:space="preserve"> 2019</w:t>
      </w:r>
      <w:r w:rsidR="006F04A8">
        <w:t xml:space="preserve"> </w:t>
      </w:r>
      <w:r>
        <w:t>Clean Air Strategy</w:t>
      </w:r>
      <w:r>
        <w:rPr>
          <w:rStyle w:val="FootnoteReference"/>
        </w:rPr>
        <w:footnoteReference w:id="6"/>
      </w:r>
      <w:r w:rsidR="009656B0">
        <w:t xml:space="preserve"> sets out the case for action, with goals even more ambitious than EU requirements to reduce exposure to </w:t>
      </w:r>
      <w:r w:rsidR="009D313F">
        <w:t xml:space="preserve">harmful </w:t>
      </w:r>
      <w:r w:rsidR="009656B0">
        <w:t>pollutants. The Road to Zero</w:t>
      </w:r>
      <w:r w:rsidR="009656B0">
        <w:rPr>
          <w:rStyle w:val="FootnoteReference"/>
        </w:rPr>
        <w:footnoteReference w:id="7"/>
      </w:r>
      <w:r w:rsidR="009656B0">
        <w:t xml:space="preserve"> </w:t>
      </w:r>
      <w:r w:rsidR="002E4A12">
        <w:t>sets out the approach to reduce exhaust emissions from road transport through a number of mechanisms</w:t>
      </w:r>
      <w:r w:rsidR="006E339A">
        <w:t>; this is</w:t>
      </w:r>
      <w:r w:rsidR="002E4A12">
        <w:t xml:space="preserve"> extremely important </w:t>
      </w:r>
      <w:r w:rsidR="006E339A">
        <w:t>given that</w:t>
      </w:r>
      <w:r w:rsidR="002E4A12">
        <w:t xml:space="preserve"> the majority of A</w:t>
      </w:r>
      <w:r w:rsidR="00423246">
        <w:t xml:space="preserve">ir </w:t>
      </w:r>
      <w:r w:rsidR="002E4A12">
        <w:t>Q</w:t>
      </w:r>
      <w:r w:rsidR="00423246">
        <w:t xml:space="preserve">uality </w:t>
      </w:r>
      <w:r w:rsidR="002E4A12">
        <w:t>M</w:t>
      </w:r>
      <w:r w:rsidR="00423246">
        <w:t xml:space="preserve">anagement </w:t>
      </w:r>
      <w:r w:rsidR="002E4A12">
        <w:t>A</w:t>
      </w:r>
      <w:r w:rsidR="00423246">
        <w:t>reas (AQMA</w:t>
      </w:r>
      <w:r w:rsidR="002E4A12">
        <w:t>s</w:t>
      </w:r>
      <w:r w:rsidR="00423246">
        <w:t>)</w:t>
      </w:r>
      <w:r w:rsidR="002E4A12">
        <w:t xml:space="preserve"> </w:t>
      </w:r>
      <w:r w:rsidR="006E339A">
        <w:t xml:space="preserve">are </w:t>
      </w:r>
      <w:r w:rsidR="002E4A12">
        <w:t xml:space="preserve">designated due to </w:t>
      </w:r>
      <w:r w:rsidR="006E339A">
        <w:t xml:space="preserve">elevated </w:t>
      </w:r>
      <w:r w:rsidR="002E4A12">
        <w:t>concentrations heavily influenced by transport emissions.</w:t>
      </w:r>
    </w:p>
    <w:p w14:paraId="53092233" w14:textId="77777777" w:rsidR="00326720" w:rsidRDefault="00326720" w:rsidP="00326720">
      <w:pPr>
        <w:pStyle w:val="Style1"/>
        <w:jc w:val="both"/>
      </w:pPr>
      <w:r>
        <w:t>The Council has completed a number of significant strategic transport improvements to improve air quality, reduce congestion and promote public transport in recent years:</w:t>
      </w:r>
    </w:p>
    <w:p w14:paraId="2071DA51" w14:textId="77777777" w:rsidR="00326720" w:rsidRDefault="00326720" w:rsidP="00646558">
      <w:pPr>
        <w:pStyle w:val="Style1"/>
        <w:numPr>
          <w:ilvl w:val="0"/>
          <w:numId w:val="24"/>
        </w:numPr>
        <w:jc w:val="both"/>
      </w:pPr>
      <w:r>
        <w:t>Significant improvements along the A185, A194 and A19;</w:t>
      </w:r>
    </w:p>
    <w:p w14:paraId="4AD11C75" w14:textId="77777777" w:rsidR="00326720" w:rsidRDefault="00326720" w:rsidP="00646558">
      <w:pPr>
        <w:pStyle w:val="Style1"/>
        <w:numPr>
          <w:ilvl w:val="0"/>
          <w:numId w:val="24"/>
        </w:numPr>
        <w:jc w:val="both"/>
      </w:pPr>
      <w:r>
        <w:t>Air Quality Grant Funding to improve junctions and active travel corridors</w:t>
      </w:r>
    </w:p>
    <w:p w14:paraId="533D95D6" w14:textId="77777777" w:rsidR="00326720" w:rsidRDefault="00326720" w:rsidP="00646558">
      <w:pPr>
        <w:pStyle w:val="Style1"/>
        <w:numPr>
          <w:ilvl w:val="0"/>
          <w:numId w:val="24"/>
        </w:numPr>
        <w:jc w:val="both"/>
      </w:pPr>
      <w:r>
        <w:t>Transforming Cities Investment Tranche 1 delivering: -</w:t>
      </w:r>
    </w:p>
    <w:p w14:paraId="7CAA0AB4" w14:textId="77777777" w:rsidR="00326720" w:rsidRDefault="00326720" w:rsidP="00646558">
      <w:pPr>
        <w:pStyle w:val="Style1"/>
        <w:numPr>
          <w:ilvl w:val="1"/>
          <w:numId w:val="24"/>
        </w:numPr>
        <w:jc w:val="both"/>
      </w:pPr>
      <w:r>
        <w:t>A19 Cycle Scheme - £1m</w:t>
      </w:r>
    </w:p>
    <w:p w14:paraId="2269A509" w14:textId="77777777" w:rsidR="00326720" w:rsidRDefault="00326720" w:rsidP="00646558">
      <w:pPr>
        <w:pStyle w:val="Style1"/>
        <w:numPr>
          <w:ilvl w:val="1"/>
          <w:numId w:val="24"/>
        </w:numPr>
        <w:jc w:val="both"/>
      </w:pPr>
      <w:r>
        <w:t>Follingsby Lane Carriageway Improvements - £1m</w:t>
      </w:r>
    </w:p>
    <w:p w14:paraId="49ED17AC" w14:textId="77777777" w:rsidR="00326720" w:rsidRDefault="00326720" w:rsidP="00646558">
      <w:pPr>
        <w:pStyle w:val="Style1"/>
        <w:numPr>
          <w:ilvl w:val="1"/>
          <w:numId w:val="24"/>
        </w:numPr>
        <w:spacing w:before="0"/>
        <w:jc w:val="both"/>
      </w:pPr>
      <w:r>
        <w:t>A185 Strategic Transport Corridor - £0.9m</w:t>
      </w:r>
    </w:p>
    <w:p w14:paraId="27B1ED50" w14:textId="01A3C3AB" w:rsidR="00326720" w:rsidRDefault="00326720" w:rsidP="00326720">
      <w:pPr>
        <w:pStyle w:val="Style1"/>
        <w:spacing w:before="100" w:beforeAutospacing="1" w:after="0"/>
        <w:jc w:val="both"/>
      </w:pPr>
      <w:r>
        <w:t xml:space="preserve">The delivery of these strategic transport priorities </w:t>
      </w:r>
      <w:r w:rsidR="00B96CDB">
        <w:t>has</w:t>
      </w:r>
      <w:r>
        <w:t xml:space="preserve"> been resultant from positive relationships with external funding providers such as the Department for Transport, Highways England, Department for the Environment, Farming, Rural Affairs and regionally through the North East Local Enterprise Partnership.  Added to this, is that South Tyneside Council has a strong reputation for delivery. </w:t>
      </w:r>
    </w:p>
    <w:p w14:paraId="6FE9E901" w14:textId="77777777" w:rsidR="00326720" w:rsidRDefault="00326720" w:rsidP="00326720">
      <w:pPr>
        <w:pStyle w:val="Style1"/>
        <w:spacing w:before="100" w:beforeAutospacing="1"/>
        <w:jc w:val="both"/>
      </w:pPr>
      <w:r>
        <w:t>With regards to forthcoming schemes over the next 5 years to support air quality and increase the uptake in active travel and public transport, the Council is set to embark on the following schemes: -</w:t>
      </w:r>
    </w:p>
    <w:p w14:paraId="7B9CCE7C" w14:textId="77777777" w:rsidR="00326720" w:rsidRDefault="00326720" w:rsidP="00646558">
      <w:pPr>
        <w:pStyle w:val="Style1"/>
        <w:numPr>
          <w:ilvl w:val="0"/>
          <w:numId w:val="24"/>
        </w:numPr>
        <w:spacing w:before="100" w:beforeAutospacing="1"/>
        <w:jc w:val="both"/>
      </w:pPr>
      <w:r>
        <w:t>A194 Strategic Transport Corridor - £1m</w:t>
      </w:r>
    </w:p>
    <w:p w14:paraId="49AA6674" w14:textId="77777777" w:rsidR="00326720" w:rsidRDefault="00326720" w:rsidP="00646558">
      <w:pPr>
        <w:pStyle w:val="Style1"/>
        <w:numPr>
          <w:ilvl w:val="0"/>
          <w:numId w:val="24"/>
        </w:numPr>
        <w:spacing w:before="100" w:beforeAutospacing="1"/>
        <w:jc w:val="both"/>
      </w:pPr>
      <w:r>
        <w:t>South Shields to Newcastle Bus Corridor - £2.5m</w:t>
      </w:r>
    </w:p>
    <w:p w14:paraId="29295046" w14:textId="77777777" w:rsidR="00326720" w:rsidRDefault="00326720" w:rsidP="00646558">
      <w:pPr>
        <w:pStyle w:val="Style1"/>
        <w:numPr>
          <w:ilvl w:val="0"/>
          <w:numId w:val="24"/>
        </w:numPr>
        <w:spacing w:before="100" w:beforeAutospacing="1"/>
        <w:jc w:val="both"/>
      </w:pPr>
      <w:r>
        <w:t>Healthier / Safer Metro Stations - £2m</w:t>
      </w:r>
    </w:p>
    <w:p w14:paraId="30F968FE" w14:textId="77777777" w:rsidR="00326720" w:rsidRDefault="00326720" w:rsidP="00646558">
      <w:pPr>
        <w:pStyle w:val="Style1"/>
        <w:numPr>
          <w:ilvl w:val="0"/>
          <w:numId w:val="24"/>
        </w:numPr>
        <w:jc w:val="both"/>
      </w:pPr>
      <w:r>
        <w:t>Intelligent Transport Corridors (traffic signal upgrades) - £1m</w:t>
      </w:r>
    </w:p>
    <w:p w14:paraId="6B3DB0C3" w14:textId="77777777" w:rsidR="00326720" w:rsidRDefault="00326720" w:rsidP="00646558">
      <w:pPr>
        <w:pStyle w:val="Style1"/>
        <w:numPr>
          <w:ilvl w:val="0"/>
          <w:numId w:val="24"/>
        </w:numPr>
        <w:jc w:val="both"/>
      </w:pPr>
      <w:r>
        <w:t>Emergency Active Travel Funding - £0.6m</w:t>
      </w:r>
    </w:p>
    <w:p w14:paraId="38B31689" w14:textId="77777777" w:rsidR="00326720" w:rsidRDefault="00326720" w:rsidP="00646558">
      <w:pPr>
        <w:pStyle w:val="Style1"/>
        <w:numPr>
          <w:ilvl w:val="0"/>
          <w:numId w:val="24"/>
        </w:numPr>
        <w:jc w:val="both"/>
      </w:pPr>
      <w:r>
        <w:t>Delivery of Active Travel scheme identified in the Local Cycling and Walking Investment Plan;</w:t>
      </w:r>
    </w:p>
    <w:p w14:paraId="49745C9C" w14:textId="77777777" w:rsidR="00326720" w:rsidRDefault="00326720" w:rsidP="00646558">
      <w:pPr>
        <w:pStyle w:val="Style1"/>
        <w:numPr>
          <w:ilvl w:val="0"/>
          <w:numId w:val="24"/>
        </w:numPr>
        <w:jc w:val="both"/>
      </w:pPr>
      <w:r>
        <w:t>Active Travel Capability Funding - £0.3m (awaiting approval)</w:t>
      </w:r>
    </w:p>
    <w:p w14:paraId="1011BA85" w14:textId="77777777" w:rsidR="00326720" w:rsidRDefault="00326720" w:rsidP="00646558">
      <w:pPr>
        <w:pStyle w:val="Style1"/>
        <w:numPr>
          <w:ilvl w:val="0"/>
          <w:numId w:val="24"/>
        </w:numPr>
        <w:jc w:val="both"/>
      </w:pPr>
      <w:r>
        <w:t xml:space="preserve">Highway and Accessibility Improvements to facilitate the International Advanced Manufacturing Park (close to Nissan, Sunderland)  </w:t>
      </w:r>
    </w:p>
    <w:p w14:paraId="132D3EBC" w14:textId="77777777" w:rsidR="00326720" w:rsidRDefault="00326720" w:rsidP="00646558">
      <w:pPr>
        <w:pStyle w:val="Style1"/>
        <w:numPr>
          <w:ilvl w:val="0"/>
          <w:numId w:val="24"/>
        </w:numPr>
        <w:jc w:val="both"/>
      </w:pPr>
      <w:r>
        <w:t xml:space="preserve">Electric Vehicle Charging Points roll-out - £0.25m </w:t>
      </w:r>
    </w:p>
    <w:p w14:paraId="49CC7189" w14:textId="77777777" w:rsidR="00326720" w:rsidRDefault="00326720" w:rsidP="00646558">
      <w:pPr>
        <w:pStyle w:val="Style1"/>
        <w:numPr>
          <w:ilvl w:val="0"/>
          <w:numId w:val="24"/>
        </w:numPr>
        <w:jc w:val="both"/>
      </w:pPr>
      <w:r>
        <w:t>A19 Southbound Lane Gain / Lane Drop - £3.5m (dependent on External Funding Bids</w:t>
      </w:r>
    </w:p>
    <w:p w14:paraId="432C7A4C" w14:textId="77777777" w:rsidR="00326720" w:rsidRDefault="00326720" w:rsidP="00646558">
      <w:pPr>
        <w:pStyle w:val="Style1"/>
        <w:numPr>
          <w:ilvl w:val="0"/>
          <w:numId w:val="24"/>
        </w:numPr>
        <w:jc w:val="both"/>
      </w:pPr>
      <w:r>
        <w:t>White Mare Pool Interim Improvements (dependent on external funding bids)</w:t>
      </w:r>
    </w:p>
    <w:p w14:paraId="1C5C942C" w14:textId="77777777" w:rsidR="00326720" w:rsidRDefault="00326720" w:rsidP="00326720">
      <w:pPr>
        <w:pStyle w:val="Style1"/>
        <w:jc w:val="both"/>
      </w:pPr>
      <w:r>
        <w:t>In addition to the above, South Tyneside is working closely with Highways England who are delivered specific junction improvements along the A19 corridor as part of the National Road Investment Study (RIS) process.</w:t>
      </w:r>
    </w:p>
    <w:p w14:paraId="26AD184E" w14:textId="77777777" w:rsidR="00326720" w:rsidRDefault="00326720" w:rsidP="00326720">
      <w:pPr>
        <w:pStyle w:val="Style1"/>
        <w:jc w:val="both"/>
        <w:rPr>
          <w:noProof/>
        </w:rPr>
      </w:pPr>
      <w:r>
        <w:t>The A19 corridor is s key regional economic corridor and a fundamental transport link into the Borough.  Highways England will construct improvements at the A19 / A184 Testo’s junction and at the A19 / A1290 Downhill Lane junction. Both schemes are seen to improve road safety, reduce congestion and improve air quality, with the schemes being constructed from 2019 and completed in 2023.</w:t>
      </w:r>
      <w:r>
        <w:rPr>
          <w:noProof/>
        </w:rPr>
        <w:t xml:space="preserve"> Testo’s Flyover as shown below below, with Downhill Lane expected to be completed in 2022.</w:t>
      </w:r>
    </w:p>
    <w:p w14:paraId="598A2447" w14:textId="7689CDF8" w:rsidR="00326720" w:rsidRDefault="00326720" w:rsidP="00326720">
      <w:pPr>
        <w:pStyle w:val="Style1"/>
        <w:jc w:val="center"/>
      </w:pPr>
      <w:r>
        <w:rPr>
          <w:noProof/>
        </w:rPr>
        <w:drawing>
          <wp:anchor distT="0" distB="0" distL="114300" distR="114300" simplePos="0" relativeHeight="251654656" behindDoc="0" locked="0" layoutInCell="1" allowOverlap="1" wp14:anchorId="15541CD4" wp14:editId="120F7861">
            <wp:simplePos x="0" y="0"/>
            <wp:positionH relativeFrom="margin">
              <wp:align>center</wp:align>
            </wp:positionH>
            <wp:positionV relativeFrom="paragraph">
              <wp:posOffset>1946910</wp:posOffset>
            </wp:positionV>
            <wp:extent cx="2584450" cy="2032000"/>
            <wp:effectExtent l="0" t="0" r="635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4450" cy="2032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E2BA12" wp14:editId="0BD0F7A9">
            <wp:extent cx="2687320" cy="17887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687320" cy="1788795"/>
                    </a:xfrm>
                    <a:prstGeom prst="rect">
                      <a:avLst/>
                    </a:prstGeom>
                    <a:noFill/>
                    <a:ln>
                      <a:noFill/>
                    </a:ln>
                  </pic:spPr>
                </pic:pic>
              </a:graphicData>
            </a:graphic>
          </wp:inline>
        </w:drawing>
      </w:r>
    </w:p>
    <w:p w14:paraId="239E9D9F" w14:textId="77777777" w:rsidR="00326720" w:rsidRDefault="00326720" w:rsidP="00326720">
      <w:pPr>
        <w:pStyle w:val="Style1"/>
        <w:jc w:val="both"/>
        <w:rPr>
          <w:b/>
          <w:u w:val="single"/>
        </w:rPr>
      </w:pPr>
    </w:p>
    <w:p w14:paraId="1711B0D6" w14:textId="77777777" w:rsidR="00326720" w:rsidRDefault="00326720" w:rsidP="00102FC8">
      <w:pPr>
        <w:pStyle w:val="Caption"/>
      </w:pPr>
      <w:r>
        <w:t>Active Travel and Physical Activity</w:t>
      </w:r>
    </w:p>
    <w:p w14:paraId="1CB9AD94" w14:textId="77777777" w:rsidR="00326720" w:rsidRDefault="00326720" w:rsidP="00326720">
      <w:pPr>
        <w:pStyle w:val="Style1"/>
        <w:jc w:val="both"/>
      </w:pPr>
      <w:r>
        <w:t xml:space="preserve">We know transportation plays an important role in supporting daily activities; However, we also know active travel (cycling, walking and use of public transport) can increase physical activity levels and improve health and mental wellbeing. </w:t>
      </w:r>
    </w:p>
    <w:p w14:paraId="1A44C436" w14:textId="6546CF46" w:rsidR="00326720" w:rsidRDefault="00326720" w:rsidP="00326720">
      <w:pPr>
        <w:pStyle w:val="Style1"/>
        <w:jc w:val="both"/>
      </w:pPr>
      <w:r>
        <w:t xml:space="preserve">Prioritisation of active travel can also reduce over reliance on motorised transport, contributing to improved air quality and a reduction in road injuries. Re-allocation of road space to support walking and cycling; restricting motor vehicle access; introducing road-user charging and traffic calming schemes; and creating safe routes to schools. Such changes have prompted substantial shifts from car transport to walking and cycling.  </w:t>
      </w:r>
    </w:p>
    <w:p w14:paraId="5B27FCFE" w14:textId="77777777" w:rsidR="00326720" w:rsidRDefault="00326720" w:rsidP="00326720">
      <w:pPr>
        <w:pStyle w:val="Style1"/>
        <w:jc w:val="both"/>
      </w:pPr>
      <w:r>
        <w:t>The Council has prepared a draft Local Cycling and Walking Implementation Plan (LCWIP) which is expected to be endorsed by the Council in July 2021. On adoption, this will provide the Council with the mechanism to attract further investment from the Emergency Active Travel Fund and other Central Government Funding opportunities. This is further expanded within the physical activity strategy for the borough, where it is bold in its commitments:</w:t>
      </w:r>
    </w:p>
    <w:p w14:paraId="28219103" w14:textId="77777777" w:rsidR="00326720" w:rsidRDefault="00326720" w:rsidP="00646558">
      <w:pPr>
        <w:pStyle w:val="Style1"/>
        <w:numPr>
          <w:ilvl w:val="0"/>
          <w:numId w:val="25"/>
        </w:numPr>
        <w:spacing w:before="0" w:after="0"/>
      </w:pPr>
      <w:r>
        <w:t>To develop a traffic free cycle/walkway connecting South Tyneside to the IAMP and over 5000 new jobs;</w:t>
      </w:r>
    </w:p>
    <w:p w14:paraId="2AC4F9C8" w14:textId="77777777" w:rsidR="00326720" w:rsidRDefault="00326720" w:rsidP="00646558">
      <w:pPr>
        <w:pStyle w:val="Style1"/>
        <w:numPr>
          <w:ilvl w:val="0"/>
          <w:numId w:val="25"/>
        </w:numPr>
        <w:spacing w:before="0" w:after="0"/>
      </w:pPr>
      <w:r>
        <w:t>All of our children will achieve the early learning goal in physical activity;</w:t>
      </w:r>
    </w:p>
    <w:p w14:paraId="61AF3164" w14:textId="77777777" w:rsidR="00326720" w:rsidRDefault="00326720" w:rsidP="00646558">
      <w:pPr>
        <w:pStyle w:val="Style1"/>
        <w:numPr>
          <w:ilvl w:val="0"/>
          <w:numId w:val="25"/>
        </w:numPr>
        <w:spacing w:before="0" w:after="0"/>
      </w:pPr>
      <w:r>
        <w:t>More children will travel to school by foot, bike, scoot, bus and metro than anywhere else in the region;</w:t>
      </w:r>
    </w:p>
    <w:p w14:paraId="1906AAF6" w14:textId="751E9CAD" w:rsidR="00326720" w:rsidRDefault="00326720" w:rsidP="00646558">
      <w:pPr>
        <w:pStyle w:val="Style1"/>
        <w:numPr>
          <w:ilvl w:val="0"/>
          <w:numId w:val="25"/>
        </w:numPr>
        <w:spacing w:before="0" w:after="0"/>
      </w:pPr>
      <w:r>
        <w:t>We will ensure that physical activity forms part of quality GP and health professional conversations.</w:t>
      </w:r>
    </w:p>
    <w:p w14:paraId="6BAC4190" w14:textId="7D848204" w:rsidR="00D553A1" w:rsidRDefault="00D553A1" w:rsidP="00102FC8">
      <w:pPr>
        <w:pStyle w:val="Caption"/>
      </w:pPr>
      <w:r>
        <w:t>Environmental Sustainability</w:t>
      </w:r>
    </w:p>
    <w:p w14:paraId="2CC8294C" w14:textId="77777777" w:rsidR="00FD3B64" w:rsidRDefault="00FD3B64" w:rsidP="00FD3B64">
      <w:pPr>
        <w:pStyle w:val="NumberedParagraph"/>
        <w:tabs>
          <w:tab w:val="clear" w:pos="720"/>
        </w:tabs>
        <w:spacing w:before="120" w:after="120" w:line="360" w:lineRule="auto"/>
        <w:ind w:left="0" w:firstLine="0"/>
        <w:jc w:val="both"/>
      </w:pPr>
      <w:r>
        <w:t xml:space="preserve">In July 2019 the Council declared a climate emergency </w:t>
      </w:r>
      <w:r w:rsidRPr="009640DF">
        <w:t xml:space="preserve">pledging to take all necessary steps to become “carbon neutral by 2030”. </w:t>
      </w:r>
    </w:p>
    <w:p w14:paraId="15E50604" w14:textId="77777777" w:rsidR="00FD3B64" w:rsidRDefault="00FD3B64" w:rsidP="00FD3B64">
      <w:pPr>
        <w:pStyle w:val="NumberedParagraph"/>
        <w:tabs>
          <w:tab w:val="clear" w:pos="720"/>
        </w:tabs>
        <w:spacing w:before="120" w:after="120" w:line="360" w:lineRule="auto"/>
        <w:ind w:left="0" w:firstLine="0"/>
        <w:jc w:val="both"/>
      </w:pPr>
      <w:r>
        <w:t>Following the declaration the Council developed the ‘</w:t>
      </w:r>
      <w:r w:rsidRPr="009640DF">
        <w:t>Sustainable South Tyneside</w:t>
      </w:r>
      <w:r>
        <w:t>’ Strategy and produced a 5-year action plan, which set out the foundation providing a platform of collective actions and a shared vision, which supports an ambition of a cleaner, greener, low carbon and resilient future.</w:t>
      </w:r>
    </w:p>
    <w:p w14:paraId="033DCD5B" w14:textId="48C60C2A" w:rsidR="006976D4" w:rsidRDefault="006976D4" w:rsidP="00623AD0">
      <w:pPr>
        <w:pStyle w:val="NumberedParagraph"/>
        <w:tabs>
          <w:tab w:val="clear" w:pos="720"/>
        </w:tabs>
        <w:spacing w:before="120" w:after="120" w:line="360" w:lineRule="auto"/>
        <w:ind w:left="0" w:firstLine="0"/>
        <w:jc w:val="both"/>
      </w:pPr>
      <w:r>
        <w:t>We have already taken actions to reduce Council emissions through</w:t>
      </w:r>
      <w:r w:rsidR="005047C1">
        <w:t xml:space="preserve"> a number of measures, including</w:t>
      </w:r>
      <w:r>
        <w:t>:</w:t>
      </w:r>
    </w:p>
    <w:p w14:paraId="74FBDEE4" w14:textId="77777777" w:rsidR="006976D4" w:rsidRDefault="006976D4" w:rsidP="00623AD0">
      <w:pPr>
        <w:numPr>
          <w:ilvl w:val="0"/>
          <w:numId w:val="32"/>
        </w:numPr>
        <w:jc w:val="both"/>
      </w:pPr>
      <w:r>
        <w:t>A significant building rationalisation programme</w:t>
      </w:r>
    </w:p>
    <w:p w14:paraId="7AB50336" w14:textId="77777777" w:rsidR="006976D4" w:rsidRDefault="006976D4" w:rsidP="00623AD0">
      <w:pPr>
        <w:numPr>
          <w:ilvl w:val="0"/>
          <w:numId w:val="32"/>
        </w:numPr>
        <w:jc w:val="both"/>
      </w:pPr>
      <w:r>
        <w:t>Building modernisation and retrofit improvements</w:t>
      </w:r>
    </w:p>
    <w:p w14:paraId="4BAFDECC" w14:textId="77777777" w:rsidR="006976D4" w:rsidRDefault="006976D4" w:rsidP="00623AD0">
      <w:pPr>
        <w:numPr>
          <w:ilvl w:val="0"/>
          <w:numId w:val="32"/>
        </w:numPr>
        <w:jc w:val="both"/>
      </w:pPr>
      <w:r>
        <w:t>Purchase of new Refuse Collection Vehicles (RCV) meeting Euro 6 standards</w:t>
      </w:r>
    </w:p>
    <w:p w14:paraId="350312C6" w14:textId="77777777" w:rsidR="006976D4" w:rsidRDefault="006976D4" w:rsidP="00623AD0">
      <w:pPr>
        <w:numPr>
          <w:ilvl w:val="0"/>
          <w:numId w:val="32"/>
        </w:numPr>
        <w:jc w:val="both"/>
      </w:pPr>
      <w:r>
        <w:t>Route optimisation for RCVs</w:t>
      </w:r>
    </w:p>
    <w:p w14:paraId="51F40787" w14:textId="77777777" w:rsidR="006976D4" w:rsidRDefault="006976D4" w:rsidP="00623AD0">
      <w:pPr>
        <w:numPr>
          <w:ilvl w:val="0"/>
          <w:numId w:val="32"/>
        </w:numPr>
        <w:jc w:val="both"/>
      </w:pPr>
      <w:r>
        <w:t>Expansion of Electric Charging infrastructure</w:t>
      </w:r>
    </w:p>
    <w:p w14:paraId="7B8C2273" w14:textId="7E26788E" w:rsidR="006976D4" w:rsidRDefault="006976D4" w:rsidP="00623AD0">
      <w:pPr>
        <w:numPr>
          <w:ilvl w:val="0"/>
          <w:numId w:val="32"/>
        </w:numPr>
        <w:jc w:val="both"/>
      </w:pPr>
      <w:r>
        <w:t>Purchase of 3 new EV vans</w:t>
      </w:r>
    </w:p>
    <w:p w14:paraId="496DE7B7" w14:textId="363ABC84" w:rsidR="00623AD0" w:rsidRDefault="003A01E1" w:rsidP="00623AD0">
      <w:pPr>
        <w:pStyle w:val="NumberedParagraph"/>
        <w:tabs>
          <w:tab w:val="clear" w:pos="720"/>
        </w:tabs>
        <w:spacing w:before="120" w:after="120" w:line="360" w:lineRule="auto"/>
        <w:ind w:left="0" w:firstLine="0"/>
        <w:jc w:val="both"/>
      </w:pPr>
      <w:r>
        <w:t>The strategy contains 11 key themes that focus on key areas to support the target of carbon neutrality by 2030. The themes cover:</w:t>
      </w:r>
    </w:p>
    <w:p w14:paraId="1BA24A6B" w14:textId="77777777" w:rsidR="003A01E1" w:rsidRDefault="003A01E1" w:rsidP="00623AD0">
      <w:pPr>
        <w:pStyle w:val="NumberedParagraph"/>
        <w:numPr>
          <w:ilvl w:val="0"/>
          <w:numId w:val="33"/>
        </w:numPr>
        <w:spacing w:before="120" w:after="120" w:line="360" w:lineRule="auto"/>
        <w:ind w:left="1145" w:hanging="357"/>
        <w:jc w:val="both"/>
      </w:pPr>
      <w:r>
        <w:t>Reducing Emissions from Council Buildings</w:t>
      </w:r>
    </w:p>
    <w:p w14:paraId="3C0DBE6B" w14:textId="77777777" w:rsidR="003A01E1" w:rsidRDefault="003A01E1" w:rsidP="00623AD0">
      <w:pPr>
        <w:pStyle w:val="NumberedParagraph"/>
        <w:numPr>
          <w:ilvl w:val="0"/>
          <w:numId w:val="33"/>
        </w:numPr>
        <w:spacing w:before="120" w:after="120" w:line="360" w:lineRule="auto"/>
        <w:ind w:left="1145" w:hanging="357"/>
        <w:jc w:val="both"/>
      </w:pPr>
      <w:r>
        <w:t>Streetlighting</w:t>
      </w:r>
    </w:p>
    <w:p w14:paraId="764ED6A6" w14:textId="77777777" w:rsidR="003A01E1" w:rsidRDefault="003A01E1" w:rsidP="00623AD0">
      <w:pPr>
        <w:pStyle w:val="NumberedParagraph"/>
        <w:numPr>
          <w:ilvl w:val="0"/>
          <w:numId w:val="33"/>
        </w:numPr>
        <w:spacing w:before="120" w:after="120" w:line="360" w:lineRule="auto"/>
        <w:ind w:left="1145" w:hanging="357"/>
        <w:jc w:val="both"/>
      </w:pPr>
      <w:r>
        <w:t>Transportation and Staff Travel</w:t>
      </w:r>
    </w:p>
    <w:p w14:paraId="498D9EF5" w14:textId="77777777" w:rsidR="003A01E1" w:rsidRDefault="003A01E1" w:rsidP="00623AD0">
      <w:pPr>
        <w:pStyle w:val="NumberedParagraph"/>
        <w:numPr>
          <w:ilvl w:val="0"/>
          <w:numId w:val="33"/>
        </w:numPr>
        <w:spacing w:before="120" w:after="120" w:line="360" w:lineRule="auto"/>
        <w:ind w:left="1145" w:hanging="357"/>
        <w:jc w:val="both"/>
      </w:pPr>
      <w:r>
        <w:t>Environment and Biodiversity</w:t>
      </w:r>
    </w:p>
    <w:p w14:paraId="5917F232" w14:textId="77777777" w:rsidR="003A01E1" w:rsidRDefault="003A01E1" w:rsidP="00623AD0">
      <w:pPr>
        <w:pStyle w:val="NumberedParagraph"/>
        <w:numPr>
          <w:ilvl w:val="0"/>
          <w:numId w:val="33"/>
        </w:numPr>
        <w:spacing w:before="120" w:after="120" w:line="360" w:lineRule="auto"/>
        <w:ind w:left="1145" w:hanging="357"/>
        <w:jc w:val="both"/>
      </w:pPr>
      <w:r>
        <w:t>Schools</w:t>
      </w:r>
    </w:p>
    <w:p w14:paraId="06B3562A" w14:textId="77777777" w:rsidR="003A01E1" w:rsidRDefault="003A01E1" w:rsidP="00623AD0">
      <w:pPr>
        <w:pStyle w:val="NumberedParagraph"/>
        <w:numPr>
          <w:ilvl w:val="0"/>
          <w:numId w:val="33"/>
        </w:numPr>
        <w:spacing w:before="120" w:after="120" w:line="360" w:lineRule="auto"/>
        <w:ind w:left="1145" w:hanging="357"/>
        <w:jc w:val="both"/>
      </w:pPr>
      <w:r>
        <w:t>South Tyneside Homes (Operations)</w:t>
      </w:r>
    </w:p>
    <w:p w14:paraId="28FD2F40" w14:textId="77777777" w:rsidR="003A01E1" w:rsidRDefault="003A01E1" w:rsidP="00623AD0">
      <w:pPr>
        <w:pStyle w:val="NumberedParagraph"/>
        <w:numPr>
          <w:ilvl w:val="0"/>
          <w:numId w:val="33"/>
        </w:numPr>
        <w:spacing w:before="120" w:after="120" w:line="360" w:lineRule="auto"/>
        <w:ind w:left="1145" w:hanging="357"/>
        <w:jc w:val="both"/>
      </w:pPr>
      <w:r>
        <w:t>Procurement</w:t>
      </w:r>
    </w:p>
    <w:p w14:paraId="140A6140" w14:textId="77777777" w:rsidR="003A01E1" w:rsidRDefault="003A01E1" w:rsidP="00623AD0">
      <w:pPr>
        <w:pStyle w:val="NumberedParagraph"/>
        <w:numPr>
          <w:ilvl w:val="0"/>
          <w:numId w:val="33"/>
        </w:numPr>
        <w:spacing w:before="120" w:after="120" w:line="360" w:lineRule="auto"/>
        <w:ind w:left="1145" w:hanging="357"/>
        <w:jc w:val="both"/>
      </w:pPr>
      <w:r>
        <w:t>Policy</w:t>
      </w:r>
    </w:p>
    <w:p w14:paraId="6D419429" w14:textId="77777777" w:rsidR="003A01E1" w:rsidRDefault="003A01E1" w:rsidP="00623AD0">
      <w:pPr>
        <w:pStyle w:val="NumberedParagraph"/>
        <w:numPr>
          <w:ilvl w:val="0"/>
          <w:numId w:val="33"/>
        </w:numPr>
        <w:spacing w:before="120" w:after="120" w:line="360" w:lineRule="auto"/>
        <w:ind w:left="1145" w:hanging="357"/>
        <w:jc w:val="both"/>
      </w:pPr>
      <w:r>
        <w:t>Adaptation</w:t>
      </w:r>
    </w:p>
    <w:p w14:paraId="07DDE6C7" w14:textId="77777777" w:rsidR="003A01E1" w:rsidRDefault="003A01E1" w:rsidP="00623AD0">
      <w:pPr>
        <w:pStyle w:val="NumberedParagraph"/>
        <w:numPr>
          <w:ilvl w:val="0"/>
          <w:numId w:val="33"/>
        </w:numPr>
        <w:spacing w:before="120" w:after="120" w:line="360" w:lineRule="auto"/>
        <w:ind w:left="1145" w:hanging="357"/>
        <w:jc w:val="both"/>
      </w:pPr>
      <w:r>
        <w:t>Cultural Change and Awareness</w:t>
      </w:r>
    </w:p>
    <w:p w14:paraId="66EB19C3" w14:textId="77777777" w:rsidR="003A01E1" w:rsidRDefault="003A01E1" w:rsidP="00623AD0">
      <w:pPr>
        <w:pStyle w:val="NumberedParagraph"/>
        <w:numPr>
          <w:ilvl w:val="0"/>
          <w:numId w:val="33"/>
        </w:numPr>
        <w:spacing w:before="120" w:after="120" w:line="360" w:lineRule="auto"/>
        <w:ind w:left="1145" w:hanging="357"/>
        <w:jc w:val="both"/>
      </w:pPr>
      <w:r>
        <w:t>Championing a Carbon Neutral Future</w:t>
      </w:r>
    </w:p>
    <w:p w14:paraId="445E8362" w14:textId="77777777" w:rsidR="006976D4" w:rsidRDefault="006976D4" w:rsidP="00623AD0">
      <w:pPr>
        <w:jc w:val="both"/>
      </w:pPr>
    </w:p>
    <w:p w14:paraId="0078746F" w14:textId="77777777" w:rsidR="00195368" w:rsidRDefault="00195368" w:rsidP="00623AD0">
      <w:pPr>
        <w:pStyle w:val="NumberedParagraph"/>
        <w:tabs>
          <w:tab w:val="clear" w:pos="720"/>
        </w:tabs>
        <w:spacing w:before="120" w:after="120" w:line="360" w:lineRule="auto"/>
        <w:ind w:left="0" w:firstLine="0"/>
        <w:jc w:val="both"/>
        <w:rPr>
          <w:lang w:val="en-US"/>
        </w:rPr>
      </w:pPr>
      <w:r>
        <w:rPr>
          <w:lang w:val="en-US"/>
        </w:rPr>
        <w:t>The Council continues to drive forward its aspiration of a greener Borough, by introducing three new electric vans to its fleet.  The new vans along with future additions will feature a distinctive Sustainable South Tyneside branding on them so they stand out, helping to raise awareness, promoting the importance of a sustainable and brighter future for all.</w:t>
      </w:r>
    </w:p>
    <w:p w14:paraId="28176E0A" w14:textId="6C39ABBE" w:rsidR="00195368" w:rsidRDefault="00195368" w:rsidP="00623AD0">
      <w:pPr>
        <w:pStyle w:val="NumberedParagraph"/>
        <w:tabs>
          <w:tab w:val="clear" w:pos="720"/>
        </w:tabs>
        <w:spacing w:before="120" w:after="120" w:line="360" w:lineRule="auto"/>
        <w:ind w:left="0" w:firstLine="0"/>
        <w:jc w:val="both"/>
        <w:rPr>
          <w:lang w:val="en-US"/>
        </w:rPr>
      </w:pPr>
      <w:r w:rsidRPr="00291148">
        <w:rPr>
          <w:lang w:val="en-US"/>
        </w:rPr>
        <w:t xml:space="preserve">Electric vehicles (EVs) are becoming an increasingly prominent fixture across transport systems, </w:t>
      </w:r>
      <w:r>
        <w:rPr>
          <w:lang w:val="en-US"/>
        </w:rPr>
        <w:t>t</w:t>
      </w:r>
      <w:r w:rsidRPr="00291148">
        <w:rPr>
          <w:lang w:val="en-US"/>
        </w:rPr>
        <w:t>o support this transition the Council continues to expand its network of 38 electric vehicle charge points across the Borough with a further 19 due to be installed within coming months, further enhancing the EV charging infrastructure across South Tyneside</w:t>
      </w:r>
    </w:p>
    <w:p w14:paraId="3ED72688" w14:textId="77777777" w:rsidR="002C2BC1" w:rsidRPr="007E1D71" w:rsidRDefault="002C2BC1" w:rsidP="00623AD0">
      <w:pPr>
        <w:pStyle w:val="NumberedParagraph"/>
        <w:tabs>
          <w:tab w:val="clear" w:pos="720"/>
        </w:tabs>
        <w:spacing w:before="120" w:after="120" w:line="360" w:lineRule="auto"/>
        <w:ind w:left="0" w:firstLine="0"/>
        <w:jc w:val="both"/>
        <w:rPr>
          <w:b/>
          <w:bCs/>
          <w:lang w:val="en-US"/>
        </w:rPr>
      </w:pPr>
      <w:r w:rsidRPr="007A18F0">
        <w:rPr>
          <w:lang w:val="en-US"/>
        </w:rPr>
        <w:t xml:space="preserve">Tree planting is </w:t>
      </w:r>
      <w:r>
        <w:rPr>
          <w:lang w:val="en-US"/>
        </w:rPr>
        <w:t xml:space="preserve">also </w:t>
      </w:r>
      <w:r w:rsidRPr="007A18F0">
        <w:rPr>
          <w:lang w:val="en-US"/>
        </w:rPr>
        <w:t xml:space="preserve">an integral part of the Councils approach using </w:t>
      </w:r>
      <w:r>
        <w:rPr>
          <w:lang w:val="en-US"/>
        </w:rPr>
        <w:t>nature-based solutions</w:t>
      </w:r>
      <w:r w:rsidRPr="007A18F0">
        <w:rPr>
          <w:lang w:val="en-US"/>
        </w:rPr>
        <w:t xml:space="preserve"> to sequester</w:t>
      </w:r>
      <w:r>
        <w:rPr>
          <w:lang w:val="en-US"/>
        </w:rPr>
        <w:t xml:space="preserve"> and store carbon</w:t>
      </w:r>
      <w:r w:rsidRPr="007A18F0">
        <w:rPr>
          <w:lang w:val="en-US"/>
        </w:rPr>
        <w:t xml:space="preserve"> emissions from the atmosphere.  </w:t>
      </w:r>
    </w:p>
    <w:p w14:paraId="5EEDF550" w14:textId="2853B293" w:rsidR="002C2BC1" w:rsidRDefault="002C2BC1" w:rsidP="00623AD0">
      <w:pPr>
        <w:pStyle w:val="NumberedParagraph"/>
        <w:tabs>
          <w:tab w:val="clear" w:pos="720"/>
        </w:tabs>
        <w:spacing w:before="120" w:after="120" w:line="360" w:lineRule="auto"/>
        <w:ind w:left="0" w:firstLine="0"/>
        <w:jc w:val="both"/>
        <w:rPr>
          <w:lang w:val="en-US"/>
        </w:rPr>
      </w:pPr>
      <w:r>
        <w:rPr>
          <w:lang w:val="en-US"/>
        </w:rPr>
        <w:t xml:space="preserve">A recent tree canopy assessment has been undertaken across South Tyneside, highlighting that the average canopy coverage across the borough is 16%, already exceeding UK standards for Coastal Towns, which is 15%. </w:t>
      </w:r>
    </w:p>
    <w:p w14:paraId="25EFF082" w14:textId="302E0E28" w:rsidR="00C04D38" w:rsidRDefault="0059710F" w:rsidP="0062374A">
      <w:pPr>
        <w:pStyle w:val="Heading2"/>
      </w:pPr>
      <w:bookmarkStart w:id="5" w:name="_Toc75438372"/>
      <w:r>
        <w:t>C</w:t>
      </w:r>
      <w:r w:rsidR="00C04D38">
        <w:t>onclusions and Priorities</w:t>
      </w:r>
      <w:bookmarkEnd w:id="5"/>
    </w:p>
    <w:p w14:paraId="36485047" w14:textId="041414BE" w:rsidR="008237DB" w:rsidRDefault="008237DB" w:rsidP="008237DB">
      <w:pPr>
        <w:jc w:val="both"/>
        <w:rPr>
          <w:rFonts w:cs="Arial"/>
          <w:color w:val="333333"/>
          <w:szCs w:val="24"/>
          <w:shd w:val="clear" w:color="auto" w:fill="FFFFFF"/>
        </w:rPr>
      </w:pPr>
      <w:r w:rsidRPr="008237DB">
        <w:rPr>
          <w:rFonts w:cs="Arial"/>
          <w:color w:val="333333"/>
          <w:szCs w:val="24"/>
          <w:shd w:val="clear" w:color="auto" w:fill="FFFFFF"/>
        </w:rPr>
        <w:t xml:space="preserve">There is a clear trend in </w:t>
      </w:r>
      <w:r w:rsidR="006A2E70">
        <w:rPr>
          <w:rFonts w:cs="Arial"/>
          <w:color w:val="333333"/>
          <w:szCs w:val="24"/>
          <w:shd w:val="clear" w:color="auto" w:fill="FFFFFF"/>
        </w:rPr>
        <w:t xml:space="preserve">the </w:t>
      </w:r>
      <w:r w:rsidRPr="008237DB">
        <w:rPr>
          <w:rFonts w:cs="Arial"/>
          <w:color w:val="333333"/>
          <w:szCs w:val="24"/>
          <w:shd w:val="clear" w:color="auto" w:fill="FFFFFF"/>
        </w:rPr>
        <w:t>2020 monitoring data</w:t>
      </w:r>
      <w:r>
        <w:rPr>
          <w:rFonts w:cs="Arial"/>
          <w:color w:val="333333"/>
          <w:szCs w:val="24"/>
          <w:shd w:val="clear" w:color="auto" w:fill="FFFFFF"/>
        </w:rPr>
        <w:t>.</w:t>
      </w:r>
      <w:r w:rsidRPr="008237DB">
        <w:rPr>
          <w:rFonts w:cs="Arial"/>
          <w:color w:val="333333"/>
          <w:szCs w:val="24"/>
          <w:shd w:val="clear" w:color="auto" w:fill="FFFFFF"/>
        </w:rPr>
        <w:t xml:space="preserve"> </w:t>
      </w:r>
    </w:p>
    <w:p w14:paraId="20AE285F" w14:textId="71BF66EF" w:rsidR="008237DB" w:rsidRPr="008237DB" w:rsidRDefault="008237DB" w:rsidP="008237DB">
      <w:pPr>
        <w:jc w:val="both"/>
        <w:rPr>
          <w:rFonts w:cs="Arial"/>
          <w:color w:val="333333"/>
          <w:szCs w:val="24"/>
          <w:shd w:val="clear" w:color="auto" w:fill="FFFFFF"/>
        </w:rPr>
      </w:pPr>
      <w:r w:rsidRPr="008237DB">
        <w:rPr>
          <w:rFonts w:cs="Arial"/>
          <w:color w:val="333333"/>
          <w:szCs w:val="24"/>
          <w:shd w:val="clear" w:color="auto" w:fill="FFFFFF"/>
        </w:rPr>
        <w:t>Decreases in the annual mean concentration have been seen at all monitoring sites, both continuous monitoring at our three automatic monitoring stations, and at our non-continuous monitoring stations, 43 diffusion tubes</w:t>
      </w:r>
      <w:r w:rsidR="00A700B7">
        <w:rPr>
          <w:rFonts w:cs="Arial"/>
          <w:color w:val="333333"/>
          <w:szCs w:val="24"/>
          <w:shd w:val="clear" w:color="auto" w:fill="FFFFFF"/>
        </w:rPr>
        <w:t xml:space="preserve"> located across the borough</w:t>
      </w:r>
      <w:r w:rsidRPr="008237DB">
        <w:rPr>
          <w:rFonts w:cs="Arial"/>
          <w:color w:val="333333"/>
          <w:szCs w:val="24"/>
          <w:shd w:val="clear" w:color="auto" w:fill="FFFFFF"/>
        </w:rPr>
        <w:t>.</w:t>
      </w:r>
    </w:p>
    <w:p w14:paraId="544F889F" w14:textId="77777777" w:rsidR="008237DB" w:rsidRPr="008237DB" w:rsidRDefault="008237DB" w:rsidP="008237DB">
      <w:pPr>
        <w:jc w:val="both"/>
        <w:rPr>
          <w:rFonts w:cs="Arial"/>
          <w:color w:val="333333"/>
          <w:szCs w:val="24"/>
          <w:shd w:val="clear" w:color="auto" w:fill="FFFFFF"/>
        </w:rPr>
      </w:pPr>
      <w:r w:rsidRPr="008237DB">
        <w:rPr>
          <w:rFonts w:cs="Arial"/>
          <w:color w:val="333333"/>
          <w:szCs w:val="24"/>
          <w:shd w:val="clear" w:color="auto" w:fill="FFFFFF"/>
        </w:rPr>
        <w:t xml:space="preserve">In March 2020, as a result of the Coronavirus pandemic, the most significant set of restrictions on British life in living memory were set in place as the Prime Minister ordered people to stay in their homes. </w:t>
      </w:r>
    </w:p>
    <w:p w14:paraId="0A3919E0" w14:textId="7AB0E564" w:rsidR="008237DB" w:rsidRPr="008237DB" w:rsidRDefault="008237DB" w:rsidP="008237DB">
      <w:pPr>
        <w:jc w:val="both"/>
        <w:rPr>
          <w:rFonts w:cs="Arial"/>
          <w:color w:val="333333"/>
          <w:szCs w:val="24"/>
          <w:shd w:val="clear" w:color="auto" w:fill="FFFFFF"/>
        </w:rPr>
      </w:pPr>
      <w:r w:rsidRPr="008237DB">
        <w:rPr>
          <w:rFonts w:cs="Arial"/>
          <w:color w:val="333333"/>
          <w:szCs w:val="24"/>
          <w:shd w:val="clear" w:color="auto" w:fill="FFFFFF"/>
        </w:rPr>
        <w:t xml:space="preserve">Lockdown restrictions led to less traffic and changing travel patterns and many people experienced better air quality. </w:t>
      </w:r>
    </w:p>
    <w:p w14:paraId="4BA25F3F" w14:textId="7D8C13C5" w:rsidR="008237DB" w:rsidRPr="008237DB" w:rsidRDefault="008237DB" w:rsidP="00A700B7">
      <w:pPr>
        <w:jc w:val="both"/>
        <w:rPr>
          <w:rFonts w:cs="Arial"/>
          <w:color w:val="333333"/>
          <w:szCs w:val="24"/>
          <w:shd w:val="clear" w:color="auto" w:fill="FFFFFF"/>
        </w:rPr>
      </w:pPr>
      <w:r w:rsidRPr="008237DB">
        <w:rPr>
          <w:rFonts w:cs="Arial"/>
          <w:color w:val="333333"/>
          <w:szCs w:val="24"/>
          <w:shd w:val="clear" w:color="auto" w:fill="FFFFFF"/>
        </w:rPr>
        <w:t>However, the temporary improvement in air quality does not mask the need for progress</w:t>
      </w:r>
      <w:r w:rsidR="005C2709">
        <w:rPr>
          <w:rFonts w:cs="Arial"/>
          <w:color w:val="333333"/>
          <w:szCs w:val="24"/>
          <w:shd w:val="clear" w:color="auto" w:fill="FFFFFF"/>
        </w:rPr>
        <w:t>ion</w:t>
      </w:r>
      <w:r w:rsidRPr="008237DB">
        <w:rPr>
          <w:rFonts w:cs="Arial"/>
          <w:color w:val="333333"/>
          <w:szCs w:val="24"/>
          <w:shd w:val="clear" w:color="auto" w:fill="FFFFFF"/>
        </w:rPr>
        <w:t xml:space="preserve"> on </w:t>
      </w:r>
      <w:r w:rsidR="005C2709">
        <w:rPr>
          <w:rFonts w:cs="Arial"/>
          <w:color w:val="333333"/>
          <w:szCs w:val="24"/>
          <w:shd w:val="clear" w:color="auto" w:fill="FFFFFF"/>
        </w:rPr>
        <w:t xml:space="preserve">driving down </w:t>
      </w:r>
      <w:r w:rsidRPr="008237DB">
        <w:rPr>
          <w:rFonts w:cs="Arial"/>
          <w:color w:val="333333"/>
          <w:szCs w:val="24"/>
          <w:shd w:val="clear" w:color="auto" w:fill="FFFFFF"/>
        </w:rPr>
        <w:t xml:space="preserve">air pollution. Longer term changes to how people live, work and travel as a result of the pandemic will bring opportunities, but also challenges. </w:t>
      </w:r>
    </w:p>
    <w:p w14:paraId="2F2CC88F" w14:textId="118E8A3B" w:rsidR="008237DB" w:rsidRPr="008237DB" w:rsidRDefault="008237DB" w:rsidP="00A700B7">
      <w:pPr>
        <w:jc w:val="both"/>
        <w:rPr>
          <w:rFonts w:cs="Arial"/>
          <w:color w:val="333333"/>
          <w:szCs w:val="24"/>
          <w:shd w:val="clear" w:color="auto" w:fill="FFFFFF"/>
        </w:rPr>
      </w:pPr>
      <w:r w:rsidRPr="008237DB">
        <w:rPr>
          <w:rFonts w:cs="Arial"/>
          <w:color w:val="333333"/>
          <w:szCs w:val="24"/>
          <w:shd w:val="clear" w:color="auto" w:fill="FFFFFF"/>
        </w:rPr>
        <w:t xml:space="preserve">The noticeable improvement many people </w:t>
      </w:r>
      <w:r w:rsidR="00281AA0">
        <w:rPr>
          <w:rFonts w:cs="Arial"/>
          <w:color w:val="333333"/>
          <w:szCs w:val="24"/>
          <w:shd w:val="clear" w:color="auto" w:fill="FFFFFF"/>
        </w:rPr>
        <w:t>experienced due to improved</w:t>
      </w:r>
      <w:r w:rsidRPr="008237DB">
        <w:rPr>
          <w:rFonts w:cs="Arial"/>
          <w:color w:val="333333"/>
          <w:szCs w:val="24"/>
          <w:shd w:val="clear" w:color="auto" w:fill="FFFFFF"/>
        </w:rPr>
        <w:t xml:space="preserve"> air quality following the initial lockdown illustrates the </w:t>
      </w:r>
      <w:r w:rsidR="00DC76A5">
        <w:rPr>
          <w:rFonts w:cs="Arial"/>
          <w:color w:val="333333"/>
          <w:szCs w:val="24"/>
          <w:shd w:val="clear" w:color="auto" w:fill="FFFFFF"/>
        </w:rPr>
        <w:t xml:space="preserve">fundamental </w:t>
      </w:r>
      <w:r w:rsidRPr="008237DB">
        <w:rPr>
          <w:rFonts w:cs="Arial"/>
          <w:color w:val="333333"/>
          <w:szCs w:val="24"/>
          <w:shd w:val="clear" w:color="auto" w:fill="FFFFFF"/>
        </w:rPr>
        <w:t xml:space="preserve">benefits of action </w:t>
      </w:r>
      <w:r w:rsidR="00787D7E">
        <w:rPr>
          <w:rFonts w:cs="Arial"/>
          <w:color w:val="333333"/>
          <w:szCs w:val="24"/>
          <w:shd w:val="clear" w:color="auto" w:fill="FFFFFF"/>
        </w:rPr>
        <w:t xml:space="preserve">being pro-active </w:t>
      </w:r>
      <w:r w:rsidR="00A33C52">
        <w:rPr>
          <w:rFonts w:cs="Arial"/>
          <w:color w:val="333333"/>
          <w:szCs w:val="24"/>
          <w:shd w:val="clear" w:color="auto" w:fill="FFFFFF"/>
        </w:rPr>
        <w:t xml:space="preserve">in reducing and </w:t>
      </w:r>
      <w:r w:rsidR="00D22233">
        <w:rPr>
          <w:rFonts w:cs="Arial"/>
          <w:color w:val="333333"/>
          <w:szCs w:val="24"/>
          <w:shd w:val="clear" w:color="auto" w:fill="FFFFFF"/>
        </w:rPr>
        <w:t xml:space="preserve">pollutants </w:t>
      </w:r>
      <w:r w:rsidR="007377BB">
        <w:rPr>
          <w:rFonts w:cs="Arial"/>
          <w:color w:val="333333"/>
          <w:szCs w:val="24"/>
          <w:shd w:val="clear" w:color="auto" w:fill="FFFFFF"/>
        </w:rPr>
        <w:t>and improve air quality for all of us.</w:t>
      </w:r>
    </w:p>
    <w:p w14:paraId="79EDD84D" w14:textId="77777777" w:rsidR="008237DB" w:rsidRDefault="006B0FB6" w:rsidP="00A700B7">
      <w:pPr>
        <w:pStyle w:val="Style1"/>
        <w:jc w:val="both"/>
        <w:rPr>
          <w:rFonts w:cs="Arial"/>
        </w:rPr>
      </w:pPr>
      <w:r w:rsidRPr="008237DB">
        <w:rPr>
          <w:rFonts w:cs="Arial"/>
        </w:rPr>
        <w:t xml:space="preserve">South Tyneside Council is currently meeting local air quality objectives for NO2 and PM10.  </w:t>
      </w:r>
    </w:p>
    <w:p w14:paraId="4A9D7B7E" w14:textId="5DD2753F" w:rsidR="00CB2F99" w:rsidRDefault="006B0FB6" w:rsidP="00842F7A">
      <w:pPr>
        <w:pStyle w:val="Style1"/>
        <w:jc w:val="both"/>
        <w:rPr>
          <w:rFonts w:cs="Arial"/>
        </w:rPr>
      </w:pPr>
      <w:r w:rsidRPr="008237DB">
        <w:rPr>
          <w:rFonts w:cs="Arial"/>
        </w:rPr>
        <w:t>No exceedances of the national objective levels have been recorded across the borough and we have not declared any new air quality management areas (AQMA’s) or had to amend/extend our current AQMA’s at Lindisfarne roundabout</w:t>
      </w:r>
      <w:r w:rsidR="00305350" w:rsidRPr="008237DB">
        <w:rPr>
          <w:rFonts w:cs="Arial"/>
        </w:rPr>
        <w:t>/Leam Lane</w:t>
      </w:r>
      <w:r w:rsidRPr="008237DB">
        <w:rPr>
          <w:rFonts w:cs="Arial"/>
        </w:rPr>
        <w:t xml:space="preserve"> and Boldon Lane. Non continuous (diffusion tube) data collected in 20</w:t>
      </w:r>
      <w:r w:rsidR="00305350" w:rsidRPr="008237DB">
        <w:rPr>
          <w:rFonts w:cs="Arial"/>
        </w:rPr>
        <w:t>20</w:t>
      </w:r>
      <w:r w:rsidRPr="008237DB">
        <w:rPr>
          <w:rFonts w:cs="Arial"/>
        </w:rPr>
        <w:t xml:space="preserve"> has not demonstrated any exceedances of the national annual average for nitrogen dioxide</w:t>
      </w:r>
      <w:r w:rsidRPr="008237DB">
        <w:rPr>
          <w:rFonts w:cs="Arial"/>
          <w:vertAlign w:val="subscript"/>
        </w:rPr>
        <w:t xml:space="preserve"> </w:t>
      </w:r>
      <w:r w:rsidRPr="008237DB">
        <w:rPr>
          <w:rFonts w:cs="Arial"/>
        </w:rPr>
        <w:t>the data collected from continuous monitoring stations has not identified any exceedance of the national objective levels for NO</w:t>
      </w:r>
      <w:r w:rsidRPr="008237DB">
        <w:rPr>
          <w:rFonts w:cs="Arial"/>
          <w:vertAlign w:val="subscript"/>
        </w:rPr>
        <w:t>2</w:t>
      </w:r>
      <w:r w:rsidRPr="008237DB">
        <w:rPr>
          <w:rFonts w:cs="Arial"/>
        </w:rPr>
        <w:t xml:space="preserve"> or PM</w:t>
      </w:r>
      <w:r w:rsidRPr="008237DB">
        <w:rPr>
          <w:rFonts w:cs="Arial"/>
          <w:vertAlign w:val="subscript"/>
        </w:rPr>
        <w:t xml:space="preserve">10 </w:t>
      </w:r>
      <w:r w:rsidRPr="008237DB">
        <w:rPr>
          <w:rFonts w:cs="Arial"/>
        </w:rPr>
        <w:t>over the last five years.</w:t>
      </w:r>
    </w:p>
    <w:p w14:paraId="086C8C57" w14:textId="55A8D361" w:rsidR="00FA5BD3" w:rsidRDefault="00842F7A" w:rsidP="00842F7A">
      <w:pPr>
        <w:jc w:val="both"/>
        <w:rPr>
          <w:color w:val="FF0000"/>
        </w:rPr>
      </w:pPr>
      <w:r>
        <w:t xml:space="preserve">Defra’s Local Air Quality Management technical guidance (TG16) states that an air quality management area can be revoked following a detailed assessment or if there is a robust evidence base including monitoring over a sufficient period i.e. several years to reflect national trends in emissions; Other factors such as works carried out as part of the action plan associated with the AQMA that may have had an effect on pollutant levels can also be taken into account. Revocation of the AQMA’s are subject to internal review and approval via a formal corporate process which will begin after completion of the detailed assessments. </w:t>
      </w:r>
    </w:p>
    <w:p w14:paraId="3CC9AAD7" w14:textId="77777777" w:rsidR="00C04D38" w:rsidRDefault="00C04D38" w:rsidP="0062374A">
      <w:pPr>
        <w:pStyle w:val="Heading2"/>
      </w:pPr>
      <w:bookmarkStart w:id="6" w:name="_Toc75438373"/>
      <w:r>
        <w:t>Local Engagement and How to get Involved</w:t>
      </w:r>
      <w:bookmarkEnd w:id="6"/>
    </w:p>
    <w:p w14:paraId="4E63995B" w14:textId="77777777" w:rsidR="003979A8" w:rsidRPr="00825639" w:rsidRDefault="003979A8" w:rsidP="003979A8">
      <w:pPr>
        <w:pStyle w:val="Style1"/>
        <w:jc w:val="both"/>
        <w:rPr>
          <w:vertAlign w:val="subscript"/>
        </w:rPr>
      </w:pPr>
      <w:r w:rsidRPr="00D2439A">
        <w:t>A significant proportion of air pollution is a result of road traffic sources, the two main pollutants of concern being NO</w:t>
      </w:r>
      <w:r w:rsidRPr="00D2439A">
        <w:rPr>
          <w:vertAlign w:val="subscript"/>
        </w:rPr>
        <w:t>2</w:t>
      </w:r>
      <w:r w:rsidRPr="00D2439A">
        <w:t xml:space="preserve"> and PM</w:t>
      </w:r>
      <w:r w:rsidRPr="00D2439A">
        <w:rPr>
          <w:vertAlign w:val="subscript"/>
        </w:rPr>
        <w:t xml:space="preserve">10.  </w:t>
      </w:r>
      <w:r w:rsidRPr="00D2439A">
        <w:t>Making changes to your daily life including walking short journeys, using public transport and car sharing when you can will ultimately reduce levels of NO</w:t>
      </w:r>
      <w:r w:rsidRPr="00D2439A">
        <w:rPr>
          <w:vertAlign w:val="subscript"/>
        </w:rPr>
        <w:t>2</w:t>
      </w:r>
      <w:r w:rsidRPr="00D2439A">
        <w:t xml:space="preserve"> and PM</w:t>
      </w:r>
      <w:r w:rsidRPr="00D2439A">
        <w:rPr>
          <w:vertAlign w:val="subscript"/>
        </w:rPr>
        <w:t>10.</w:t>
      </w:r>
    </w:p>
    <w:p w14:paraId="5DFF1A10" w14:textId="77777777" w:rsidR="003979A8" w:rsidRPr="00D2439A" w:rsidRDefault="003979A8" w:rsidP="003979A8">
      <w:pPr>
        <w:pStyle w:val="Style1"/>
        <w:jc w:val="both"/>
      </w:pPr>
      <w:r w:rsidRPr="00D2439A">
        <w:t>South Tyneside Council</w:t>
      </w:r>
      <w:r>
        <w:t xml:space="preserve"> works with public health and the sustainability teams</w:t>
      </w:r>
      <w:r w:rsidRPr="00D2439A">
        <w:t xml:space="preserve"> to encourage the uptake of sustainable modes of transport. South Tyneside ha</w:t>
      </w:r>
      <w:r>
        <w:t>s</w:t>
      </w:r>
      <w:r w:rsidRPr="00D2439A">
        <w:t xml:space="preserve"> continued to encourage residents to cycle, walk, and use alternative methods of transport.  </w:t>
      </w:r>
    </w:p>
    <w:p w14:paraId="1E97C822" w14:textId="77777777" w:rsidR="003979A8" w:rsidRPr="00D2439A" w:rsidRDefault="003979A8" w:rsidP="003979A8">
      <w:pPr>
        <w:spacing w:after="240"/>
        <w:jc w:val="both"/>
      </w:pPr>
      <w:r w:rsidRPr="00D2439A">
        <w:t>Other measures that residents can undertake to improve air quality include:</w:t>
      </w:r>
    </w:p>
    <w:p w14:paraId="3FE57E8B" w14:textId="77777777" w:rsidR="003979A8" w:rsidRDefault="003979A8" w:rsidP="00646558">
      <w:pPr>
        <w:pStyle w:val="Default"/>
        <w:numPr>
          <w:ilvl w:val="0"/>
          <w:numId w:val="26"/>
        </w:numPr>
        <w:spacing w:line="360" w:lineRule="auto"/>
        <w:jc w:val="both"/>
        <w:rPr>
          <w:color w:val="auto"/>
        </w:rPr>
      </w:pPr>
      <w:r w:rsidRPr="00D2439A">
        <w:rPr>
          <w:color w:val="auto"/>
        </w:rPr>
        <w:t>Purchasing low emission electric/ and or hybrid vehicles</w:t>
      </w:r>
      <w:r>
        <w:rPr>
          <w:color w:val="auto"/>
        </w:rPr>
        <w:t>;</w:t>
      </w:r>
    </w:p>
    <w:p w14:paraId="62346B31" w14:textId="77777777" w:rsidR="003979A8" w:rsidRPr="00D2439A" w:rsidRDefault="003979A8" w:rsidP="00646558">
      <w:pPr>
        <w:pStyle w:val="Default"/>
        <w:numPr>
          <w:ilvl w:val="0"/>
          <w:numId w:val="26"/>
        </w:numPr>
        <w:spacing w:line="360" w:lineRule="auto"/>
        <w:jc w:val="both"/>
        <w:rPr>
          <w:color w:val="auto"/>
        </w:rPr>
      </w:pPr>
      <w:r>
        <w:rPr>
          <w:color w:val="auto"/>
        </w:rPr>
        <w:t>Working with schools on the importance of air quality and active travel;</w:t>
      </w:r>
    </w:p>
    <w:p w14:paraId="100128B2" w14:textId="77777777" w:rsidR="003979A8" w:rsidRPr="001B1118" w:rsidRDefault="003979A8" w:rsidP="00646558">
      <w:pPr>
        <w:pStyle w:val="Default"/>
        <w:numPr>
          <w:ilvl w:val="0"/>
          <w:numId w:val="26"/>
        </w:numPr>
        <w:spacing w:line="360" w:lineRule="auto"/>
        <w:jc w:val="both"/>
        <w:rPr>
          <w:color w:val="auto"/>
        </w:rPr>
      </w:pPr>
      <w:r w:rsidRPr="001B1118">
        <w:rPr>
          <w:color w:val="auto"/>
        </w:rPr>
        <w:t xml:space="preserve">Upgrading boilers to newest and most efficient gas condensing boilers with lowest NOx (and carbon) emissions. </w:t>
      </w:r>
    </w:p>
    <w:p w14:paraId="6FAF2E6D" w14:textId="77777777" w:rsidR="00A221A2" w:rsidRPr="00A221A2" w:rsidRDefault="00A221A2" w:rsidP="00400B0F">
      <w:pPr>
        <w:jc w:val="both"/>
      </w:pPr>
    </w:p>
    <w:p w14:paraId="30D17F0B" w14:textId="77777777" w:rsidR="00A221A2" w:rsidRDefault="00A221A2" w:rsidP="00400B0F">
      <w:pPr>
        <w:spacing w:before="0" w:after="0"/>
        <w:rPr>
          <w:b/>
          <w:color w:val="008938"/>
          <w:sz w:val="28"/>
          <w:lang w:eastAsia="en-GB"/>
        </w:rPr>
        <w:sectPr w:rsidR="00A221A2" w:rsidSect="008E5727">
          <w:footerReference w:type="default" r:id="rId20"/>
          <w:pgSz w:w="11899" w:h="16838" w:code="9"/>
          <w:pgMar w:top="1134" w:right="1134" w:bottom="1134" w:left="1134" w:header="340" w:footer="340" w:gutter="0"/>
          <w:pgNumType w:fmt="lowerRoman" w:start="1"/>
          <w:cols w:space="708"/>
          <w:docGrid w:linePitch="326"/>
        </w:sectPr>
      </w:pPr>
    </w:p>
    <w:p w14:paraId="0C802783" w14:textId="2602698C" w:rsidR="002D2206" w:rsidRDefault="00A221A2" w:rsidP="00400B0F">
      <w:pPr>
        <w:pStyle w:val="Contents"/>
      </w:pPr>
      <w:r>
        <w:t xml:space="preserve">Table of </w:t>
      </w:r>
      <w:r w:rsidR="00CD3AC4">
        <w:t>Contents</w:t>
      </w:r>
      <w:bookmarkEnd w:id="1"/>
    </w:p>
    <w:bookmarkStart w:id="7" w:name="_Toc473641179"/>
    <w:p w14:paraId="1808A75F" w14:textId="05FD7D1F" w:rsidR="000F75A5" w:rsidRDefault="00414262">
      <w:pPr>
        <w:pStyle w:val="TOC1"/>
        <w:rPr>
          <w:rFonts w:asciiTheme="minorHAnsi" w:eastAsiaTheme="minorEastAsia" w:hAnsiTheme="minorHAnsi" w:cstheme="minorBidi"/>
          <w:b w:val="0"/>
          <w:color w:val="auto"/>
          <w:sz w:val="22"/>
          <w:lang w:eastAsia="en-GB"/>
        </w:rPr>
      </w:pPr>
      <w:r>
        <w:rPr>
          <w:color w:val="2B579A"/>
          <w:shd w:val="clear" w:color="auto" w:fill="E6E6E6"/>
        </w:rPr>
        <w:fldChar w:fldCharType="begin"/>
      </w:r>
      <w:r>
        <w:rPr>
          <w:color w:val="2B579A"/>
          <w:shd w:val="clear" w:color="auto" w:fill="E6E6E6"/>
        </w:rPr>
        <w:instrText xml:space="preserve"> TOC \o "1-3" \h \z \u </w:instrText>
      </w:r>
      <w:r>
        <w:rPr>
          <w:color w:val="2B579A"/>
          <w:shd w:val="clear" w:color="auto" w:fill="E6E6E6"/>
        </w:rPr>
        <w:fldChar w:fldCharType="separate"/>
      </w:r>
      <w:hyperlink w:anchor="_Toc75438369" w:history="1">
        <w:r w:rsidR="000F75A5" w:rsidRPr="00FE7E91">
          <w:rPr>
            <w:rStyle w:val="Hyperlink"/>
          </w:rPr>
          <w:t>Executive Summary: Air Quality in Our Area</w:t>
        </w:r>
        <w:r w:rsidR="000F75A5">
          <w:rPr>
            <w:webHidden/>
          </w:rPr>
          <w:tab/>
        </w:r>
        <w:r w:rsidR="000F75A5">
          <w:rPr>
            <w:webHidden/>
          </w:rPr>
          <w:fldChar w:fldCharType="begin"/>
        </w:r>
        <w:r w:rsidR="000F75A5">
          <w:rPr>
            <w:webHidden/>
          </w:rPr>
          <w:instrText xml:space="preserve"> PAGEREF _Toc75438369 \h </w:instrText>
        </w:r>
        <w:r w:rsidR="000F75A5">
          <w:rPr>
            <w:webHidden/>
          </w:rPr>
        </w:r>
        <w:r w:rsidR="000F75A5">
          <w:rPr>
            <w:webHidden/>
          </w:rPr>
          <w:fldChar w:fldCharType="separate"/>
        </w:r>
        <w:r w:rsidR="000F75A5">
          <w:rPr>
            <w:webHidden/>
          </w:rPr>
          <w:t>i</w:t>
        </w:r>
        <w:r w:rsidR="000F75A5">
          <w:rPr>
            <w:webHidden/>
          </w:rPr>
          <w:fldChar w:fldCharType="end"/>
        </w:r>
      </w:hyperlink>
    </w:p>
    <w:p w14:paraId="1F099C7D" w14:textId="142E89FA" w:rsidR="000F75A5" w:rsidRDefault="00B6413C">
      <w:pPr>
        <w:pStyle w:val="TOC1"/>
        <w:rPr>
          <w:rFonts w:asciiTheme="minorHAnsi" w:eastAsiaTheme="minorEastAsia" w:hAnsiTheme="minorHAnsi" w:cstheme="minorBidi"/>
          <w:b w:val="0"/>
          <w:color w:val="auto"/>
          <w:sz w:val="22"/>
          <w:lang w:eastAsia="en-GB"/>
        </w:rPr>
      </w:pPr>
      <w:hyperlink w:anchor="_Toc75438370" w:history="1">
        <w:r w:rsidR="000F75A5" w:rsidRPr="00FE7E91">
          <w:rPr>
            <w:rStyle w:val="Hyperlink"/>
          </w:rPr>
          <w:t>Air Quality in South Tyneside</w:t>
        </w:r>
        <w:r w:rsidR="000F75A5">
          <w:rPr>
            <w:webHidden/>
          </w:rPr>
          <w:tab/>
        </w:r>
        <w:r w:rsidR="000F75A5">
          <w:rPr>
            <w:webHidden/>
          </w:rPr>
          <w:fldChar w:fldCharType="begin"/>
        </w:r>
        <w:r w:rsidR="000F75A5">
          <w:rPr>
            <w:webHidden/>
          </w:rPr>
          <w:instrText xml:space="preserve"> PAGEREF _Toc75438370 \h </w:instrText>
        </w:r>
        <w:r w:rsidR="000F75A5">
          <w:rPr>
            <w:webHidden/>
          </w:rPr>
        </w:r>
        <w:r w:rsidR="000F75A5">
          <w:rPr>
            <w:webHidden/>
          </w:rPr>
          <w:fldChar w:fldCharType="separate"/>
        </w:r>
        <w:r w:rsidR="000F75A5">
          <w:rPr>
            <w:webHidden/>
          </w:rPr>
          <w:t>i</w:t>
        </w:r>
        <w:r w:rsidR="000F75A5">
          <w:rPr>
            <w:webHidden/>
          </w:rPr>
          <w:fldChar w:fldCharType="end"/>
        </w:r>
      </w:hyperlink>
    </w:p>
    <w:p w14:paraId="4EC52AFF" w14:textId="12D240BC" w:rsidR="000F75A5" w:rsidRDefault="00B6413C">
      <w:pPr>
        <w:pStyle w:val="TOC2"/>
        <w:tabs>
          <w:tab w:val="right" w:leader="dot" w:pos="9621"/>
        </w:tabs>
        <w:rPr>
          <w:rFonts w:asciiTheme="minorHAnsi" w:eastAsiaTheme="minorEastAsia" w:hAnsiTheme="minorHAnsi" w:cstheme="minorBidi"/>
          <w:noProof/>
          <w:lang w:eastAsia="en-GB"/>
        </w:rPr>
      </w:pPr>
      <w:hyperlink w:anchor="_Toc75438371" w:history="1">
        <w:r w:rsidR="000F75A5" w:rsidRPr="00FE7E91">
          <w:rPr>
            <w:rStyle w:val="Hyperlink"/>
            <w:noProof/>
          </w:rPr>
          <w:t>Actions to Improve Air Quality</w:t>
        </w:r>
        <w:r w:rsidR="000F75A5">
          <w:rPr>
            <w:noProof/>
            <w:webHidden/>
          </w:rPr>
          <w:tab/>
        </w:r>
        <w:r w:rsidR="000F75A5">
          <w:rPr>
            <w:noProof/>
            <w:webHidden/>
          </w:rPr>
          <w:fldChar w:fldCharType="begin"/>
        </w:r>
        <w:r w:rsidR="000F75A5">
          <w:rPr>
            <w:noProof/>
            <w:webHidden/>
          </w:rPr>
          <w:instrText xml:space="preserve"> PAGEREF _Toc75438371 \h </w:instrText>
        </w:r>
        <w:r w:rsidR="000F75A5">
          <w:rPr>
            <w:noProof/>
            <w:webHidden/>
          </w:rPr>
        </w:r>
        <w:r w:rsidR="000F75A5">
          <w:rPr>
            <w:noProof/>
            <w:webHidden/>
          </w:rPr>
          <w:fldChar w:fldCharType="separate"/>
        </w:r>
        <w:r w:rsidR="000F75A5">
          <w:rPr>
            <w:noProof/>
            <w:webHidden/>
          </w:rPr>
          <w:t>ii</w:t>
        </w:r>
        <w:r w:rsidR="000F75A5">
          <w:rPr>
            <w:noProof/>
            <w:webHidden/>
          </w:rPr>
          <w:fldChar w:fldCharType="end"/>
        </w:r>
      </w:hyperlink>
    </w:p>
    <w:p w14:paraId="7D0F4C54" w14:textId="4C7C9497" w:rsidR="000F75A5" w:rsidRDefault="00B6413C">
      <w:pPr>
        <w:pStyle w:val="TOC2"/>
        <w:tabs>
          <w:tab w:val="right" w:leader="dot" w:pos="9621"/>
        </w:tabs>
        <w:rPr>
          <w:rFonts w:asciiTheme="minorHAnsi" w:eastAsiaTheme="minorEastAsia" w:hAnsiTheme="minorHAnsi" w:cstheme="minorBidi"/>
          <w:noProof/>
          <w:lang w:eastAsia="en-GB"/>
        </w:rPr>
      </w:pPr>
      <w:hyperlink w:anchor="_Toc75438372" w:history="1">
        <w:r w:rsidR="000F75A5" w:rsidRPr="00FE7E91">
          <w:rPr>
            <w:rStyle w:val="Hyperlink"/>
            <w:noProof/>
          </w:rPr>
          <w:t>Conclusions and Priorities</w:t>
        </w:r>
        <w:r w:rsidR="000F75A5">
          <w:rPr>
            <w:noProof/>
            <w:webHidden/>
          </w:rPr>
          <w:tab/>
        </w:r>
        <w:r w:rsidR="000F75A5">
          <w:rPr>
            <w:noProof/>
            <w:webHidden/>
          </w:rPr>
          <w:fldChar w:fldCharType="begin"/>
        </w:r>
        <w:r w:rsidR="000F75A5">
          <w:rPr>
            <w:noProof/>
            <w:webHidden/>
          </w:rPr>
          <w:instrText xml:space="preserve"> PAGEREF _Toc75438372 \h </w:instrText>
        </w:r>
        <w:r w:rsidR="000F75A5">
          <w:rPr>
            <w:noProof/>
            <w:webHidden/>
          </w:rPr>
        </w:r>
        <w:r w:rsidR="000F75A5">
          <w:rPr>
            <w:noProof/>
            <w:webHidden/>
          </w:rPr>
          <w:fldChar w:fldCharType="separate"/>
        </w:r>
        <w:r w:rsidR="000F75A5">
          <w:rPr>
            <w:noProof/>
            <w:webHidden/>
          </w:rPr>
          <w:t>vii</w:t>
        </w:r>
        <w:r w:rsidR="000F75A5">
          <w:rPr>
            <w:noProof/>
            <w:webHidden/>
          </w:rPr>
          <w:fldChar w:fldCharType="end"/>
        </w:r>
      </w:hyperlink>
    </w:p>
    <w:p w14:paraId="4EF02E99" w14:textId="2025D23E" w:rsidR="000F75A5" w:rsidRDefault="00B6413C">
      <w:pPr>
        <w:pStyle w:val="TOC2"/>
        <w:tabs>
          <w:tab w:val="right" w:leader="dot" w:pos="9621"/>
        </w:tabs>
        <w:rPr>
          <w:rFonts w:asciiTheme="minorHAnsi" w:eastAsiaTheme="minorEastAsia" w:hAnsiTheme="minorHAnsi" w:cstheme="minorBidi"/>
          <w:noProof/>
          <w:lang w:eastAsia="en-GB"/>
        </w:rPr>
      </w:pPr>
      <w:hyperlink w:anchor="_Toc75438373" w:history="1">
        <w:r w:rsidR="000F75A5" w:rsidRPr="00FE7E91">
          <w:rPr>
            <w:rStyle w:val="Hyperlink"/>
            <w:noProof/>
          </w:rPr>
          <w:t>Local Engagement and How to get Involved</w:t>
        </w:r>
        <w:r w:rsidR="000F75A5">
          <w:rPr>
            <w:noProof/>
            <w:webHidden/>
          </w:rPr>
          <w:tab/>
        </w:r>
        <w:r w:rsidR="000F75A5">
          <w:rPr>
            <w:noProof/>
            <w:webHidden/>
          </w:rPr>
          <w:fldChar w:fldCharType="begin"/>
        </w:r>
        <w:r w:rsidR="000F75A5">
          <w:rPr>
            <w:noProof/>
            <w:webHidden/>
          </w:rPr>
          <w:instrText xml:space="preserve"> PAGEREF _Toc75438373 \h </w:instrText>
        </w:r>
        <w:r w:rsidR="000F75A5">
          <w:rPr>
            <w:noProof/>
            <w:webHidden/>
          </w:rPr>
        </w:r>
        <w:r w:rsidR="000F75A5">
          <w:rPr>
            <w:noProof/>
            <w:webHidden/>
          </w:rPr>
          <w:fldChar w:fldCharType="separate"/>
        </w:r>
        <w:r w:rsidR="000F75A5">
          <w:rPr>
            <w:noProof/>
            <w:webHidden/>
          </w:rPr>
          <w:t>viii</w:t>
        </w:r>
        <w:r w:rsidR="000F75A5">
          <w:rPr>
            <w:noProof/>
            <w:webHidden/>
          </w:rPr>
          <w:fldChar w:fldCharType="end"/>
        </w:r>
      </w:hyperlink>
    </w:p>
    <w:p w14:paraId="6F3875A0" w14:textId="3AEE3C93" w:rsidR="000F75A5" w:rsidRDefault="00B6413C">
      <w:pPr>
        <w:pStyle w:val="TOC1"/>
        <w:tabs>
          <w:tab w:val="left" w:pos="442"/>
        </w:tabs>
        <w:rPr>
          <w:rFonts w:asciiTheme="minorHAnsi" w:eastAsiaTheme="minorEastAsia" w:hAnsiTheme="minorHAnsi" w:cstheme="minorBidi"/>
          <w:b w:val="0"/>
          <w:color w:val="auto"/>
          <w:sz w:val="22"/>
          <w:lang w:eastAsia="en-GB"/>
        </w:rPr>
      </w:pPr>
      <w:hyperlink w:anchor="_Toc75438374" w:history="1">
        <w:r w:rsidR="000F75A5" w:rsidRPr="00FE7E91">
          <w:rPr>
            <w:rStyle w:val="Hyperlink"/>
          </w:rPr>
          <w:t>1</w:t>
        </w:r>
        <w:r w:rsidR="000F75A5">
          <w:rPr>
            <w:rFonts w:asciiTheme="minorHAnsi" w:eastAsiaTheme="minorEastAsia" w:hAnsiTheme="minorHAnsi" w:cstheme="minorBidi"/>
            <w:b w:val="0"/>
            <w:color w:val="auto"/>
            <w:sz w:val="22"/>
            <w:lang w:eastAsia="en-GB"/>
          </w:rPr>
          <w:tab/>
        </w:r>
        <w:r w:rsidR="000F75A5" w:rsidRPr="00FE7E91">
          <w:rPr>
            <w:rStyle w:val="Hyperlink"/>
          </w:rPr>
          <w:t>Local Air Quality Management</w:t>
        </w:r>
        <w:r w:rsidR="000F75A5">
          <w:rPr>
            <w:webHidden/>
          </w:rPr>
          <w:tab/>
        </w:r>
        <w:r w:rsidR="000F75A5">
          <w:rPr>
            <w:webHidden/>
          </w:rPr>
          <w:fldChar w:fldCharType="begin"/>
        </w:r>
        <w:r w:rsidR="000F75A5">
          <w:rPr>
            <w:webHidden/>
          </w:rPr>
          <w:instrText xml:space="preserve"> PAGEREF _Toc75438374 \h </w:instrText>
        </w:r>
        <w:r w:rsidR="000F75A5">
          <w:rPr>
            <w:webHidden/>
          </w:rPr>
        </w:r>
        <w:r w:rsidR="000F75A5">
          <w:rPr>
            <w:webHidden/>
          </w:rPr>
          <w:fldChar w:fldCharType="separate"/>
        </w:r>
        <w:r w:rsidR="000F75A5">
          <w:rPr>
            <w:webHidden/>
          </w:rPr>
          <w:t>1</w:t>
        </w:r>
        <w:r w:rsidR="000F75A5">
          <w:rPr>
            <w:webHidden/>
          </w:rPr>
          <w:fldChar w:fldCharType="end"/>
        </w:r>
      </w:hyperlink>
    </w:p>
    <w:p w14:paraId="6405775B" w14:textId="4B6D76FD" w:rsidR="000F75A5" w:rsidRDefault="00B6413C">
      <w:pPr>
        <w:pStyle w:val="TOC1"/>
        <w:tabs>
          <w:tab w:val="left" w:pos="442"/>
        </w:tabs>
        <w:rPr>
          <w:rFonts w:asciiTheme="minorHAnsi" w:eastAsiaTheme="minorEastAsia" w:hAnsiTheme="minorHAnsi" w:cstheme="minorBidi"/>
          <w:b w:val="0"/>
          <w:color w:val="auto"/>
          <w:sz w:val="22"/>
          <w:lang w:eastAsia="en-GB"/>
        </w:rPr>
      </w:pPr>
      <w:hyperlink w:anchor="_Toc75438375" w:history="1">
        <w:r w:rsidR="000F75A5" w:rsidRPr="00FE7E91">
          <w:rPr>
            <w:rStyle w:val="Hyperlink"/>
          </w:rPr>
          <w:t>2</w:t>
        </w:r>
        <w:r w:rsidR="000F75A5">
          <w:rPr>
            <w:rFonts w:asciiTheme="minorHAnsi" w:eastAsiaTheme="minorEastAsia" w:hAnsiTheme="minorHAnsi" w:cstheme="minorBidi"/>
            <w:b w:val="0"/>
            <w:color w:val="auto"/>
            <w:sz w:val="22"/>
            <w:lang w:eastAsia="en-GB"/>
          </w:rPr>
          <w:tab/>
        </w:r>
        <w:r w:rsidR="000F75A5" w:rsidRPr="00FE7E91">
          <w:rPr>
            <w:rStyle w:val="Hyperlink"/>
          </w:rPr>
          <w:t>Actions to Improve Air Quality</w:t>
        </w:r>
        <w:r w:rsidR="000F75A5">
          <w:rPr>
            <w:webHidden/>
          </w:rPr>
          <w:tab/>
        </w:r>
        <w:r w:rsidR="000F75A5">
          <w:rPr>
            <w:webHidden/>
          </w:rPr>
          <w:fldChar w:fldCharType="begin"/>
        </w:r>
        <w:r w:rsidR="000F75A5">
          <w:rPr>
            <w:webHidden/>
          </w:rPr>
          <w:instrText xml:space="preserve"> PAGEREF _Toc75438375 \h </w:instrText>
        </w:r>
        <w:r w:rsidR="000F75A5">
          <w:rPr>
            <w:webHidden/>
          </w:rPr>
        </w:r>
        <w:r w:rsidR="000F75A5">
          <w:rPr>
            <w:webHidden/>
          </w:rPr>
          <w:fldChar w:fldCharType="separate"/>
        </w:r>
        <w:r w:rsidR="000F75A5">
          <w:rPr>
            <w:webHidden/>
          </w:rPr>
          <w:t>2</w:t>
        </w:r>
        <w:r w:rsidR="000F75A5">
          <w:rPr>
            <w:webHidden/>
          </w:rPr>
          <w:fldChar w:fldCharType="end"/>
        </w:r>
      </w:hyperlink>
    </w:p>
    <w:p w14:paraId="40C0BE31" w14:textId="4C8E46C7" w:rsidR="000F75A5" w:rsidRDefault="00B6413C">
      <w:pPr>
        <w:pStyle w:val="TOC1"/>
        <w:rPr>
          <w:rFonts w:asciiTheme="minorHAnsi" w:eastAsiaTheme="minorEastAsia" w:hAnsiTheme="minorHAnsi" w:cstheme="minorBidi"/>
          <w:b w:val="0"/>
          <w:color w:val="auto"/>
          <w:sz w:val="22"/>
          <w:lang w:eastAsia="en-GB"/>
        </w:rPr>
      </w:pPr>
      <w:hyperlink w:anchor="_Toc75438376" w:history="1">
        <w:r w:rsidR="000F75A5" w:rsidRPr="00FE7E91">
          <w:rPr>
            <w:rStyle w:val="Hyperlink"/>
          </w:rPr>
          <w:t>2.1 Air Quality Management Areas</w:t>
        </w:r>
        <w:r w:rsidR="000F75A5">
          <w:rPr>
            <w:webHidden/>
          </w:rPr>
          <w:tab/>
        </w:r>
        <w:r w:rsidR="000F75A5">
          <w:rPr>
            <w:webHidden/>
          </w:rPr>
          <w:fldChar w:fldCharType="begin"/>
        </w:r>
        <w:r w:rsidR="000F75A5">
          <w:rPr>
            <w:webHidden/>
          </w:rPr>
          <w:instrText xml:space="preserve"> PAGEREF _Toc75438376 \h </w:instrText>
        </w:r>
        <w:r w:rsidR="000F75A5">
          <w:rPr>
            <w:webHidden/>
          </w:rPr>
        </w:r>
        <w:r w:rsidR="000F75A5">
          <w:rPr>
            <w:webHidden/>
          </w:rPr>
          <w:fldChar w:fldCharType="separate"/>
        </w:r>
        <w:r w:rsidR="000F75A5">
          <w:rPr>
            <w:webHidden/>
          </w:rPr>
          <w:t>2</w:t>
        </w:r>
        <w:r w:rsidR="000F75A5">
          <w:rPr>
            <w:webHidden/>
          </w:rPr>
          <w:fldChar w:fldCharType="end"/>
        </w:r>
      </w:hyperlink>
    </w:p>
    <w:p w14:paraId="3D4D395D" w14:textId="0D88B47E" w:rsidR="000F75A5" w:rsidRDefault="00B6413C">
      <w:pPr>
        <w:pStyle w:val="TOC2"/>
        <w:tabs>
          <w:tab w:val="right" w:leader="dot" w:pos="9621"/>
        </w:tabs>
        <w:rPr>
          <w:rFonts w:asciiTheme="minorHAnsi" w:eastAsiaTheme="minorEastAsia" w:hAnsiTheme="minorHAnsi" w:cstheme="minorBidi"/>
          <w:noProof/>
          <w:lang w:eastAsia="en-GB"/>
        </w:rPr>
      </w:pPr>
      <w:hyperlink w:anchor="_Toc75438377" w:history="1">
        <w:r w:rsidR="000F75A5" w:rsidRPr="00FE7E91">
          <w:rPr>
            <w:rStyle w:val="Hyperlink"/>
            <w:noProof/>
          </w:rPr>
          <w:t>2.2 Progress and impact of measures to address Air Quality in South Tyneside</w:t>
        </w:r>
        <w:r w:rsidR="000F75A5">
          <w:rPr>
            <w:noProof/>
            <w:webHidden/>
          </w:rPr>
          <w:tab/>
        </w:r>
        <w:r w:rsidR="000F75A5">
          <w:rPr>
            <w:noProof/>
            <w:webHidden/>
          </w:rPr>
          <w:fldChar w:fldCharType="begin"/>
        </w:r>
        <w:r w:rsidR="000F75A5">
          <w:rPr>
            <w:noProof/>
            <w:webHidden/>
          </w:rPr>
          <w:instrText xml:space="preserve"> PAGEREF _Toc75438377 \h </w:instrText>
        </w:r>
        <w:r w:rsidR="000F75A5">
          <w:rPr>
            <w:noProof/>
            <w:webHidden/>
          </w:rPr>
        </w:r>
        <w:r w:rsidR="000F75A5">
          <w:rPr>
            <w:noProof/>
            <w:webHidden/>
          </w:rPr>
          <w:fldChar w:fldCharType="separate"/>
        </w:r>
        <w:r w:rsidR="000F75A5">
          <w:rPr>
            <w:noProof/>
            <w:webHidden/>
          </w:rPr>
          <w:t>6</w:t>
        </w:r>
        <w:r w:rsidR="000F75A5">
          <w:rPr>
            <w:noProof/>
            <w:webHidden/>
          </w:rPr>
          <w:fldChar w:fldCharType="end"/>
        </w:r>
      </w:hyperlink>
    </w:p>
    <w:p w14:paraId="569E7D46" w14:textId="309F4098" w:rsidR="000F75A5" w:rsidRDefault="00B6413C">
      <w:pPr>
        <w:pStyle w:val="TOC2"/>
        <w:tabs>
          <w:tab w:val="right" w:leader="dot" w:pos="9621"/>
        </w:tabs>
        <w:rPr>
          <w:rFonts w:asciiTheme="minorHAnsi" w:eastAsiaTheme="minorEastAsia" w:hAnsiTheme="minorHAnsi" w:cstheme="minorBidi"/>
          <w:noProof/>
          <w:lang w:eastAsia="en-GB"/>
        </w:rPr>
      </w:pPr>
      <w:hyperlink w:anchor="_Toc75438378" w:history="1">
        <w:r w:rsidR="000F75A5" w:rsidRPr="00FE7E91">
          <w:rPr>
            <w:rStyle w:val="Hyperlink"/>
            <w:noProof/>
          </w:rPr>
          <w:t>2.3 PM</w:t>
        </w:r>
        <w:r w:rsidR="000F75A5" w:rsidRPr="00FE7E91">
          <w:rPr>
            <w:rStyle w:val="Hyperlink"/>
            <w:noProof/>
            <w:vertAlign w:val="subscript"/>
          </w:rPr>
          <w:t xml:space="preserve">2.5 </w:t>
        </w:r>
        <w:r w:rsidR="000F75A5" w:rsidRPr="00FE7E91">
          <w:rPr>
            <w:rStyle w:val="Hyperlink"/>
            <w:noProof/>
          </w:rPr>
          <w:t>– Local Authority Approach to Reducing Emissions and/or Concentrations</w:t>
        </w:r>
        <w:r w:rsidR="000F75A5">
          <w:rPr>
            <w:noProof/>
            <w:webHidden/>
          </w:rPr>
          <w:tab/>
        </w:r>
        <w:r w:rsidR="000F75A5">
          <w:rPr>
            <w:noProof/>
            <w:webHidden/>
          </w:rPr>
          <w:fldChar w:fldCharType="begin"/>
        </w:r>
        <w:r w:rsidR="000F75A5">
          <w:rPr>
            <w:noProof/>
            <w:webHidden/>
          </w:rPr>
          <w:instrText xml:space="preserve"> PAGEREF _Toc75438378 \h </w:instrText>
        </w:r>
        <w:r w:rsidR="000F75A5">
          <w:rPr>
            <w:noProof/>
            <w:webHidden/>
          </w:rPr>
        </w:r>
        <w:r w:rsidR="000F75A5">
          <w:rPr>
            <w:noProof/>
            <w:webHidden/>
          </w:rPr>
          <w:fldChar w:fldCharType="separate"/>
        </w:r>
        <w:r w:rsidR="000F75A5">
          <w:rPr>
            <w:noProof/>
            <w:webHidden/>
          </w:rPr>
          <w:t>13</w:t>
        </w:r>
        <w:r w:rsidR="000F75A5">
          <w:rPr>
            <w:noProof/>
            <w:webHidden/>
          </w:rPr>
          <w:fldChar w:fldCharType="end"/>
        </w:r>
      </w:hyperlink>
    </w:p>
    <w:p w14:paraId="1938D421" w14:textId="5CF8DEDD" w:rsidR="000F75A5" w:rsidRDefault="00B6413C">
      <w:pPr>
        <w:pStyle w:val="TOC1"/>
        <w:tabs>
          <w:tab w:val="left" w:pos="442"/>
        </w:tabs>
        <w:rPr>
          <w:rFonts w:asciiTheme="minorHAnsi" w:eastAsiaTheme="minorEastAsia" w:hAnsiTheme="minorHAnsi" w:cstheme="minorBidi"/>
          <w:b w:val="0"/>
          <w:color w:val="auto"/>
          <w:sz w:val="22"/>
          <w:lang w:eastAsia="en-GB"/>
        </w:rPr>
      </w:pPr>
      <w:hyperlink w:anchor="_Toc75438379" w:history="1">
        <w:r w:rsidR="000F75A5" w:rsidRPr="00FE7E91">
          <w:rPr>
            <w:rStyle w:val="Hyperlink"/>
          </w:rPr>
          <w:t>3</w:t>
        </w:r>
        <w:r w:rsidR="000F75A5">
          <w:rPr>
            <w:rFonts w:asciiTheme="minorHAnsi" w:eastAsiaTheme="minorEastAsia" w:hAnsiTheme="minorHAnsi" w:cstheme="minorBidi"/>
            <w:b w:val="0"/>
            <w:color w:val="auto"/>
            <w:sz w:val="22"/>
            <w:lang w:eastAsia="en-GB"/>
          </w:rPr>
          <w:tab/>
        </w:r>
        <w:r w:rsidR="000F75A5" w:rsidRPr="00FE7E91">
          <w:rPr>
            <w:rStyle w:val="Hyperlink"/>
          </w:rPr>
          <w:t>Air Quality Monitoring Data and Comparison with Air Quality Objectives and National Compliance</w:t>
        </w:r>
        <w:r w:rsidR="000F75A5">
          <w:rPr>
            <w:webHidden/>
          </w:rPr>
          <w:tab/>
        </w:r>
        <w:r w:rsidR="000F75A5">
          <w:rPr>
            <w:webHidden/>
          </w:rPr>
          <w:fldChar w:fldCharType="begin"/>
        </w:r>
        <w:r w:rsidR="000F75A5">
          <w:rPr>
            <w:webHidden/>
          </w:rPr>
          <w:instrText xml:space="preserve"> PAGEREF _Toc75438379 \h </w:instrText>
        </w:r>
        <w:r w:rsidR="000F75A5">
          <w:rPr>
            <w:webHidden/>
          </w:rPr>
        </w:r>
        <w:r w:rsidR="000F75A5">
          <w:rPr>
            <w:webHidden/>
          </w:rPr>
          <w:fldChar w:fldCharType="separate"/>
        </w:r>
        <w:r w:rsidR="000F75A5">
          <w:rPr>
            <w:webHidden/>
          </w:rPr>
          <w:t>17</w:t>
        </w:r>
        <w:r w:rsidR="000F75A5">
          <w:rPr>
            <w:webHidden/>
          </w:rPr>
          <w:fldChar w:fldCharType="end"/>
        </w:r>
      </w:hyperlink>
    </w:p>
    <w:p w14:paraId="342EA678" w14:textId="6C5B88DE" w:rsidR="000F75A5" w:rsidRDefault="00B6413C">
      <w:pPr>
        <w:pStyle w:val="TOC2"/>
        <w:tabs>
          <w:tab w:val="right" w:leader="dot" w:pos="9621"/>
        </w:tabs>
        <w:rPr>
          <w:rFonts w:asciiTheme="minorHAnsi" w:eastAsiaTheme="minorEastAsia" w:hAnsiTheme="minorHAnsi" w:cstheme="minorBidi"/>
          <w:noProof/>
          <w:lang w:eastAsia="en-GB"/>
        </w:rPr>
      </w:pPr>
      <w:hyperlink w:anchor="_Toc75438380" w:history="1">
        <w:r w:rsidR="000F75A5" w:rsidRPr="00FE7E91">
          <w:rPr>
            <w:rStyle w:val="Hyperlink"/>
            <w:noProof/>
          </w:rPr>
          <w:t>Summary of Monitoring Undertaken</w:t>
        </w:r>
        <w:r w:rsidR="000F75A5">
          <w:rPr>
            <w:noProof/>
            <w:webHidden/>
          </w:rPr>
          <w:tab/>
        </w:r>
        <w:r w:rsidR="000F75A5">
          <w:rPr>
            <w:noProof/>
            <w:webHidden/>
          </w:rPr>
          <w:fldChar w:fldCharType="begin"/>
        </w:r>
        <w:r w:rsidR="000F75A5">
          <w:rPr>
            <w:noProof/>
            <w:webHidden/>
          </w:rPr>
          <w:instrText xml:space="preserve"> PAGEREF _Toc75438380 \h </w:instrText>
        </w:r>
        <w:r w:rsidR="000F75A5">
          <w:rPr>
            <w:noProof/>
            <w:webHidden/>
          </w:rPr>
        </w:r>
        <w:r w:rsidR="000F75A5">
          <w:rPr>
            <w:noProof/>
            <w:webHidden/>
          </w:rPr>
          <w:fldChar w:fldCharType="separate"/>
        </w:r>
        <w:r w:rsidR="000F75A5">
          <w:rPr>
            <w:noProof/>
            <w:webHidden/>
          </w:rPr>
          <w:t>17</w:t>
        </w:r>
        <w:r w:rsidR="000F75A5">
          <w:rPr>
            <w:noProof/>
            <w:webHidden/>
          </w:rPr>
          <w:fldChar w:fldCharType="end"/>
        </w:r>
      </w:hyperlink>
    </w:p>
    <w:p w14:paraId="7CB51112" w14:textId="34735A04" w:rsidR="000F75A5" w:rsidRDefault="00B6413C">
      <w:pPr>
        <w:pStyle w:val="TOC3"/>
        <w:tabs>
          <w:tab w:val="left" w:pos="1320"/>
          <w:tab w:val="right" w:leader="dot" w:pos="9621"/>
        </w:tabs>
        <w:rPr>
          <w:rFonts w:asciiTheme="minorHAnsi" w:eastAsiaTheme="minorEastAsia" w:hAnsiTheme="minorHAnsi" w:cstheme="minorBidi"/>
          <w:noProof/>
          <w:sz w:val="22"/>
          <w:lang w:eastAsia="en-GB"/>
        </w:rPr>
      </w:pPr>
      <w:hyperlink w:anchor="_Toc75438381" w:history="1">
        <w:r w:rsidR="000F75A5" w:rsidRPr="00FE7E91">
          <w:rPr>
            <w:rStyle w:val="Hyperlink"/>
            <w:noProof/>
          </w:rPr>
          <w:t>3.1.1</w:t>
        </w:r>
        <w:r w:rsidR="000F75A5">
          <w:rPr>
            <w:rFonts w:asciiTheme="minorHAnsi" w:eastAsiaTheme="minorEastAsia" w:hAnsiTheme="minorHAnsi" w:cstheme="minorBidi"/>
            <w:noProof/>
            <w:sz w:val="22"/>
            <w:lang w:eastAsia="en-GB"/>
          </w:rPr>
          <w:tab/>
        </w:r>
        <w:r w:rsidR="000F75A5" w:rsidRPr="00FE7E91">
          <w:rPr>
            <w:rStyle w:val="Hyperlink"/>
            <w:noProof/>
          </w:rPr>
          <w:t>Automatic Monitoring Sites</w:t>
        </w:r>
        <w:r w:rsidR="000F75A5">
          <w:rPr>
            <w:noProof/>
            <w:webHidden/>
          </w:rPr>
          <w:tab/>
        </w:r>
        <w:r w:rsidR="000F75A5">
          <w:rPr>
            <w:noProof/>
            <w:webHidden/>
          </w:rPr>
          <w:fldChar w:fldCharType="begin"/>
        </w:r>
        <w:r w:rsidR="000F75A5">
          <w:rPr>
            <w:noProof/>
            <w:webHidden/>
          </w:rPr>
          <w:instrText xml:space="preserve"> PAGEREF _Toc75438381 \h </w:instrText>
        </w:r>
        <w:r w:rsidR="000F75A5">
          <w:rPr>
            <w:noProof/>
            <w:webHidden/>
          </w:rPr>
        </w:r>
        <w:r w:rsidR="000F75A5">
          <w:rPr>
            <w:noProof/>
            <w:webHidden/>
          </w:rPr>
          <w:fldChar w:fldCharType="separate"/>
        </w:r>
        <w:r w:rsidR="000F75A5">
          <w:rPr>
            <w:noProof/>
            <w:webHidden/>
          </w:rPr>
          <w:t>17</w:t>
        </w:r>
        <w:r w:rsidR="000F75A5">
          <w:rPr>
            <w:noProof/>
            <w:webHidden/>
          </w:rPr>
          <w:fldChar w:fldCharType="end"/>
        </w:r>
      </w:hyperlink>
    </w:p>
    <w:p w14:paraId="495CEAAE" w14:textId="6E510ADE" w:rsidR="000F75A5" w:rsidRDefault="00B6413C">
      <w:pPr>
        <w:pStyle w:val="TOC3"/>
        <w:tabs>
          <w:tab w:val="left" w:pos="1320"/>
          <w:tab w:val="right" w:leader="dot" w:pos="9621"/>
        </w:tabs>
        <w:rPr>
          <w:rFonts w:asciiTheme="minorHAnsi" w:eastAsiaTheme="minorEastAsia" w:hAnsiTheme="minorHAnsi" w:cstheme="minorBidi"/>
          <w:noProof/>
          <w:sz w:val="22"/>
          <w:lang w:eastAsia="en-GB"/>
        </w:rPr>
      </w:pPr>
      <w:hyperlink w:anchor="_Toc75438382" w:history="1">
        <w:r w:rsidR="000F75A5" w:rsidRPr="00FE7E91">
          <w:rPr>
            <w:rStyle w:val="Hyperlink"/>
            <w:noProof/>
          </w:rPr>
          <w:t>3.1.2</w:t>
        </w:r>
        <w:r w:rsidR="000F75A5">
          <w:rPr>
            <w:rFonts w:asciiTheme="minorHAnsi" w:eastAsiaTheme="minorEastAsia" w:hAnsiTheme="minorHAnsi" w:cstheme="minorBidi"/>
            <w:noProof/>
            <w:sz w:val="22"/>
            <w:lang w:eastAsia="en-GB"/>
          </w:rPr>
          <w:tab/>
        </w:r>
        <w:r w:rsidR="000F75A5" w:rsidRPr="00FE7E91">
          <w:rPr>
            <w:rStyle w:val="Hyperlink"/>
            <w:noProof/>
          </w:rPr>
          <w:t>Non-Automatic Monitoring Sites</w:t>
        </w:r>
        <w:r w:rsidR="000F75A5">
          <w:rPr>
            <w:noProof/>
            <w:webHidden/>
          </w:rPr>
          <w:tab/>
        </w:r>
        <w:r w:rsidR="000F75A5">
          <w:rPr>
            <w:noProof/>
            <w:webHidden/>
          </w:rPr>
          <w:fldChar w:fldCharType="begin"/>
        </w:r>
        <w:r w:rsidR="000F75A5">
          <w:rPr>
            <w:noProof/>
            <w:webHidden/>
          </w:rPr>
          <w:instrText xml:space="preserve"> PAGEREF _Toc75438382 \h </w:instrText>
        </w:r>
        <w:r w:rsidR="000F75A5">
          <w:rPr>
            <w:noProof/>
            <w:webHidden/>
          </w:rPr>
        </w:r>
        <w:r w:rsidR="000F75A5">
          <w:rPr>
            <w:noProof/>
            <w:webHidden/>
          </w:rPr>
          <w:fldChar w:fldCharType="separate"/>
        </w:r>
        <w:r w:rsidR="000F75A5">
          <w:rPr>
            <w:noProof/>
            <w:webHidden/>
          </w:rPr>
          <w:t>17</w:t>
        </w:r>
        <w:r w:rsidR="000F75A5">
          <w:rPr>
            <w:noProof/>
            <w:webHidden/>
          </w:rPr>
          <w:fldChar w:fldCharType="end"/>
        </w:r>
      </w:hyperlink>
    </w:p>
    <w:p w14:paraId="0CA3FAE4" w14:textId="237E18EB" w:rsidR="000F75A5" w:rsidRDefault="00B6413C">
      <w:pPr>
        <w:pStyle w:val="TOC2"/>
        <w:tabs>
          <w:tab w:val="right" w:leader="dot" w:pos="9621"/>
        </w:tabs>
        <w:rPr>
          <w:rFonts w:asciiTheme="minorHAnsi" w:eastAsiaTheme="minorEastAsia" w:hAnsiTheme="minorHAnsi" w:cstheme="minorBidi"/>
          <w:noProof/>
          <w:lang w:eastAsia="en-GB"/>
        </w:rPr>
      </w:pPr>
      <w:hyperlink w:anchor="_Toc75438383" w:history="1">
        <w:r w:rsidR="000F75A5" w:rsidRPr="00FE7E91">
          <w:rPr>
            <w:rStyle w:val="Hyperlink"/>
            <w:noProof/>
          </w:rPr>
          <w:t>3.2 Individual Pollutants</w:t>
        </w:r>
        <w:r w:rsidR="000F75A5">
          <w:rPr>
            <w:noProof/>
            <w:webHidden/>
          </w:rPr>
          <w:tab/>
        </w:r>
        <w:r w:rsidR="000F75A5">
          <w:rPr>
            <w:noProof/>
            <w:webHidden/>
          </w:rPr>
          <w:fldChar w:fldCharType="begin"/>
        </w:r>
        <w:r w:rsidR="000F75A5">
          <w:rPr>
            <w:noProof/>
            <w:webHidden/>
          </w:rPr>
          <w:instrText xml:space="preserve"> PAGEREF _Toc75438383 \h </w:instrText>
        </w:r>
        <w:r w:rsidR="000F75A5">
          <w:rPr>
            <w:noProof/>
            <w:webHidden/>
          </w:rPr>
        </w:r>
        <w:r w:rsidR="000F75A5">
          <w:rPr>
            <w:noProof/>
            <w:webHidden/>
          </w:rPr>
          <w:fldChar w:fldCharType="separate"/>
        </w:r>
        <w:r w:rsidR="000F75A5">
          <w:rPr>
            <w:noProof/>
            <w:webHidden/>
          </w:rPr>
          <w:t>18</w:t>
        </w:r>
        <w:r w:rsidR="000F75A5">
          <w:rPr>
            <w:noProof/>
            <w:webHidden/>
          </w:rPr>
          <w:fldChar w:fldCharType="end"/>
        </w:r>
      </w:hyperlink>
    </w:p>
    <w:p w14:paraId="09DCC2F7" w14:textId="12F5EBDC" w:rsidR="000F75A5" w:rsidRDefault="00B6413C">
      <w:pPr>
        <w:pStyle w:val="TOC3"/>
        <w:tabs>
          <w:tab w:val="right" w:leader="dot" w:pos="9621"/>
        </w:tabs>
        <w:rPr>
          <w:rFonts w:asciiTheme="minorHAnsi" w:eastAsiaTheme="minorEastAsia" w:hAnsiTheme="minorHAnsi" w:cstheme="minorBidi"/>
          <w:noProof/>
          <w:sz w:val="22"/>
          <w:lang w:eastAsia="en-GB"/>
        </w:rPr>
      </w:pPr>
      <w:hyperlink w:anchor="_Toc75438384" w:history="1">
        <w:r w:rsidR="000F75A5" w:rsidRPr="00FE7E91">
          <w:rPr>
            <w:rStyle w:val="Hyperlink"/>
            <w:noProof/>
          </w:rPr>
          <w:t>3.2.1 Nitrogen Dioxide (NO</w:t>
        </w:r>
        <w:r w:rsidR="000F75A5" w:rsidRPr="00FE7E91">
          <w:rPr>
            <w:rStyle w:val="Hyperlink"/>
            <w:noProof/>
            <w:vertAlign w:val="subscript"/>
          </w:rPr>
          <w:t>2</w:t>
        </w:r>
        <w:r w:rsidR="000F75A5" w:rsidRPr="00FE7E91">
          <w:rPr>
            <w:rStyle w:val="Hyperlink"/>
            <w:noProof/>
          </w:rPr>
          <w:t>)</w:t>
        </w:r>
        <w:r w:rsidR="000F75A5">
          <w:rPr>
            <w:noProof/>
            <w:webHidden/>
          </w:rPr>
          <w:tab/>
        </w:r>
        <w:r w:rsidR="000F75A5">
          <w:rPr>
            <w:noProof/>
            <w:webHidden/>
          </w:rPr>
          <w:fldChar w:fldCharType="begin"/>
        </w:r>
        <w:r w:rsidR="000F75A5">
          <w:rPr>
            <w:noProof/>
            <w:webHidden/>
          </w:rPr>
          <w:instrText xml:space="preserve"> PAGEREF _Toc75438384 \h </w:instrText>
        </w:r>
        <w:r w:rsidR="000F75A5">
          <w:rPr>
            <w:noProof/>
            <w:webHidden/>
          </w:rPr>
        </w:r>
        <w:r w:rsidR="000F75A5">
          <w:rPr>
            <w:noProof/>
            <w:webHidden/>
          </w:rPr>
          <w:fldChar w:fldCharType="separate"/>
        </w:r>
        <w:r w:rsidR="000F75A5">
          <w:rPr>
            <w:noProof/>
            <w:webHidden/>
          </w:rPr>
          <w:t>18</w:t>
        </w:r>
        <w:r w:rsidR="000F75A5">
          <w:rPr>
            <w:noProof/>
            <w:webHidden/>
          </w:rPr>
          <w:fldChar w:fldCharType="end"/>
        </w:r>
      </w:hyperlink>
    </w:p>
    <w:p w14:paraId="753031CD" w14:textId="7E0A78E5" w:rsidR="000F75A5" w:rsidRDefault="00B6413C">
      <w:pPr>
        <w:pStyle w:val="TOC2"/>
        <w:tabs>
          <w:tab w:val="right" w:leader="dot" w:pos="9621"/>
        </w:tabs>
        <w:rPr>
          <w:rFonts w:asciiTheme="minorHAnsi" w:eastAsiaTheme="minorEastAsia" w:hAnsiTheme="minorHAnsi" w:cstheme="minorBidi"/>
          <w:noProof/>
          <w:lang w:eastAsia="en-GB"/>
        </w:rPr>
      </w:pPr>
      <w:hyperlink w:anchor="_Toc75438385" w:history="1">
        <w:r w:rsidR="000F75A5" w:rsidRPr="00FE7E91">
          <w:rPr>
            <w:rStyle w:val="Hyperlink"/>
            <w:noProof/>
          </w:rPr>
          <w:t>.2.2 Particulate Matter (PM</w:t>
        </w:r>
        <w:r w:rsidR="000F75A5" w:rsidRPr="00FE7E91">
          <w:rPr>
            <w:rStyle w:val="Hyperlink"/>
            <w:noProof/>
            <w:vertAlign w:val="subscript"/>
          </w:rPr>
          <w:t>10</w:t>
        </w:r>
        <w:r w:rsidR="000F75A5" w:rsidRPr="00FE7E91">
          <w:rPr>
            <w:rStyle w:val="Hyperlink"/>
            <w:noProof/>
          </w:rPr>
          <w:t>)</w:t>
        </w:r>
        <w:r w:rsidR="000F75A5">
          <w:rPr>
            <w:noProof/>
            <w:webHidden/>
          </w:rPr>
          <w:tab/>
        </w:r>
        <w:r w:rsidR="000F75A5">
          <w:rPr>
            <w:noProof/>
            <w:webHidden/>
          </w:rPr>
          <w:fldChar w:fldCharType="begin"/>
        </w:r>
        <w:r w:rsidR="000F75A5">
          <w:rPr>
            <w:noProof/>
            <w:webHidden/>
          </w:rPr>
          <w:instrText xml:space="preserve"> PAGEREF _Toc75438385 \h </w:instrText>
        </w:r>
        <w:r w:rsidR="000F75A5">
          <w:rPr>
            <w:noProof/>
            <w:webHidden/>
          </w:rPr>
        </w:r>
        <w:r w:rsidR="000F75A5">
          <w:rPr>
            <w:noProof/>
            <w:webHidden/>
          </w:rPr>
          <w:fldChar w:fldCharType="separate"/>
        </w:r>
        <w:r w:rsidR="000F75A5">
          <w:rPr>
            <w:noProof/>
            <w:webHidden/>
          </w:rPr>
          <w:t>20</w:t>
        </w:r>
        <w:r w:rsidR="000F75A5">
          <w:rPr>
            <w:noProof/>
            <w:webHidden/>
          </w:rPr>
          <w:fldChar w:fldCharType="end"/>
        </w:r>
      </w:hyperlink>
    </w:p>
    <w:p w14:paraId="54F38EE4" w14:textId="15CA90CF" w:rsidR="000F75A5" w:rsidRDefault="00B6413C">
      <w:pPr>
        <w:pStyle w:val="TOC3"/>
        <w:tabs>
          <w:tab w:val="left" w:pos="1320"/>
          <w:tab w:val="right" w:leader="dot" w:pos="9621"/>
        </w:tabs>
        <w:rPr>
          <w:rFonts w:asciiTheme="minorHAnsi" w:eastAsiaTheme="minorEastAsia" w:hAnsiTheme="minorHAnsi" w:cstheme="minorBidi"/>
          <w:noProof/>
          <w:sz w:val="22"/>
          <w:lang w:eastAsia="en-GB"/>
        </w:rPr>
      </w:pPr>
      <w:hyperlink w:anchor="_Toc75438386" w:history="1">
        <w:r w:rsidR="000F75A5" w:rsidRPr="00FE7E91">
          <w:rPr>
            <w:rStyle w:val="Hyperlink"/>
            <w:noProof/>
          </w:rPr>
          <w:t>3.1.3</w:t>
        </w:r>
        <w:r w:rsidR="000F75A5">
          <w:rPr>
            <w:rFonts w:asciiTheme="minorHAnsi" w:eastAsiaTheme="minorEastAsia" w:hAnsiTheme="minorHAnsi" w:cstheme="minorBidi"/>
            <w:noProof/>
            <w:sz w:val="22"/>
            <w:lang w:eastAsia="en-GB"/>
          </w:rPr>
          <w:tab/>
        </w:r>
        <w:r w:rsidR="000F75A5" w:rsidRPr="00FE7E91">
          <w:rPr>
            <w:rStyle w:val="Hyperlink"/>
            <w:noProof/>
          </w:rPr>
          <w:t>Particulate Matter (PM</w:t>
        </w:r>
        <w:r w:rsidR="000F75A5" w:rsidRPr="00FE7E91">
          <w:rPr>
            <w:rStyle w:val="Hyperlink"/>
            <w:noProof/>
            <w:vertAlign w:val="subscript"/>
          </w:rPr>
          <w:t>2.5</w:t>
        </w:r>
        <w:r w:rsidR="000F75A5" w:rsidRPr="00FE7E91">
          <w:rPr>
            <w:rStyle w:val="Hyperlink"/>
            <w:noProof/>
          </w:rPr>
          <w:t>)</w:t>
        </w:r>
        <w:r w:rsidR="000F75A5">
          <w:rPr>
            <w:noProof/>
            <w:webHidden/>
          </w:rPr>
          <w:tab/>
        </w:r>
        <w:r w:rsidR="000F75A5">
          <w:rPr>
            <w:noProof/>
            <w:webHidden/>
          </w:rPr>
          <w:fldChar w:fldCharType="begin"/>
        </w:r>
        <w:r w:rsidR="000F75A5">
          <w:rPr>
            <w:noProof/>
            <w:webHidden/>
          </w:rPr>
          <w:instrText xml:space="preserve"> PAGEREF _Toc75438386 \h </w:instrText>
        </w:r>
        <w:r w:rsidR="000F75A5">
          <w:rPr>
            <w:noProof/>
            <w:webHidden/>
          </w:rPr>
        </w:r>
        <w:r w:rsidR="000F75A5">
          <w:rPr>
            <w:noProof/>
            <w:webHidden/>
          </w:rPr>
          <w:fldChar w:fldCharType="separate"/>
        </w:r>
        <w:r w:rsidR="000F75A5">
          <w:rPr>
            <w:noProof/>
            <w:webHidden/>
          </w:rPr>
          <w:t>21</w:t>
        </w:r>
        <w:r w:rsidR="000F75A5">
          <w:rPr>
            <w:noProof/>
            <w:webHidden/>
          </w:rPr>
          <w:fldChar w:fldCharType="end"/>
        </w:r>
      </w:hyperlink>
    </w:p>
    <w:p w14:paraId="1EBD9FC4" w14:textId="66916E2B" w:rsidR="000F75A5" w:rsidRDefault="00B6413C">
      <w:pPr>
        <w:pStyle w:val="TOC1"/>
        <w:rPr>
          <w:rFonts w:asciiTheme="minorHAnsi" w:eastAsiaTheme="minorEastAsia" w:hAnsiTheme="minorHAnsi" w:cstheme="minorBidi"/>
          <w:b w:val="0"/>
          <w:color w:val="auto"/>
          <w:sz w:val="22"/>
          <w:lang w:eastAsia="en-GB"/>
        </w:rPr>
      </w:pPr>
      <w:hyperlink w:anchor="_Toc75438387" w:history="1">
        <w:r w:rsidR="000F75A5" w:rsidRPr="00FE7E91">
          <w:rPr>
            <w:rStyle w:val="Hyperlink"/>
          </w:rPr>
          <w:t>Appendix A: Monitoring Results</w:t>
        </w:r>
        <w:r w:rsidR="000F75A5">
          <w:rPr>
            <w:webHidden/>
          </w:rPr>
          <w:tab/>
        </w:r>
        <w:r w:rsidR="000F75A5">
          <w:rPr>
            <w:webHidden/>
          </w:rPr>
          <w:fldChar w:fldCharType="begin"/>
        </w:r>
        <w:r w:rsidR="000F75A5">
          <w:rPr>
            <w:webHidden/>
          </w:rPr>
          <w:instrText xml:space="preserve"> PAGEREF _Toc75438387 \h </w:instrText>
        </w:r>
        <w:r w:rsidR="000F75A5">
          <w:rPr>
            <w:webHidden/>
          </w:rPr>
        </w:r>
        <w:r w:rsidR="000F75A5">
          <w:rPr>
            <w:webHidden/>
          </w:rPr>
          <w:fldChar w:fldCharType="separate"/>
        </w:r>
        <w:r w:rsidR="000F75A5">
          <w:rPr>
            <w:webHidden/>
          </w:rPr>
          <w:t>22</w:t>
        </w:r>
        <w:r w:rsidR="000F75A5">
          <w:rPr>
            <w:webHidden/>
          </w:rPr>
          <w:fldChar w:fldCharType="end"/>
        </w:r>
      </w:hyperlink>
    </w:p>
    <w:p w14:paraId="6BA6DAFF" w14:textId="7B90B15F" w:rsidR="000F75A5" w:rsidRDefault="00B6413C">
      <w:pPr>
        <w:pStyle w:val="TOC1"/>
        <w:rPr>
          <w:rFonts w:asciiTheme="minorHAnsi" w:eastAsiaTheme="minorEastAsia" w:hAnsiTheme="minorHAnsi" w:cstheme="minorBidi"/>
          <w:b w:val="0"/>
          <w:color w:val="auto"/>
          <w:sz w:val="22"/>
          <w:lang w:eastAsia="en-GB"/>
        </w:rPr>
      </w:pPr>
      <w:hyperlink w:anchor="_Toc75438388" w:history="1">
        <w:r w:rsidR="000F75A5" w:rsidRPr="00FE7E91">
          <w:rPr>
            <w:rStyle w:val="Hyperlink"/>
          </w:rPr>
          <w:t>Appendix B: Full Monthly Diffusion Tube Results for 2020</w:t>
        </w:r>
        <w:r w:rsidR="000F75A5">
          <w:rPr>
            <w:webHidden/>
          </w:rPr>
          <w:tab/>
        </w:r>
        <w:r w:rsidR="000F75A5">
          <w:rPr>
            <w:webHidden/>
          </w:rPr>
          <w:fldChar w:fldCharType="begin"/>
        </w:r>
        <w:r w:rsidR="000F75A5">
          <w:rPr>
            <w:webHidden/>
          </w:rPr>
          <w:instrText xml:space="preserve"> PAGEREF _Toc75438388 \h </w:instrText>
        </w:r>
        <w:r w:rsidR="000F75A5">
          <w:rPr>
            <w:webHidden/>
          </w:rPr>
        </w:r>
        <w:r w:rsidR="000F75A5">
          <w:rPr>
            <w:webHidden/>
          </w:rPr>
          <w:fldChar w:fldCharType="separate"/>
        </w:r>
        <w:r w:rsidR="000F75A5">
          <w:rPr>
            <w:webHidden/>
          </w:rPr>
          <w:t>45</w:t>
        </w:r>
        <w:r w:rsidR="000F75A5">
          <w:rPr>
            <w:webHidden/>
          </w:rPr>
          <w:fldChar w:fldCharType="end"/>
        </w:r>
      </w:hyperlink>
    </w:p>
    <w:p w14:paraId="7B2C5CB3" w14:textId="0E58DE60" w:rsidR="000F75A5" w:rsidRDefault="00B6413C">
      <w:pPr>
        <w:pStyle w:val="TOC1"/>
        <w:rPr>
          <w:rFonts w:asciiTheme="minorHAnsi" w:eastAsiaTheme="minorEastAsia" w:hAnsiTheme="minorHAnsi" w:cstheme="minorBidi"/>
          <w:b w:val="0"/>
          <w:color w:val="auto"/>
          <w:sz w:val="22"/>
          <w:lang w:eastAsia="en-GB"/>
        </w:rPr>
      </w:pPr>
      <w:hyperlink w:anchor="_Toc75438389" w:history="1">
        <w:r w:rsidR="000F75A5" w:rsidRPr="00FE7E91">
          <w:rPr>
            <w:rStyle w:val="Hyperlink"/>
          </w:rPr>
          <w:t>Appendix C: Supporting Technical Information / Air Quality Monitoring Data QA/QC</w:t>
        </w:r>
        <w:r w:rsidR="000F75A5">
          <w:rPr>
            <w:webHidden/>
          </w:rPr>
          <w:tab/>
        </w:r>
        <w:r w:rsidR="000F75A5">
          <w:rPr>
            <w:webHidden/>
          </w:rPr>
          <w:fldChar w:fldCharType="begin"/>
        </w:r>
        <w:r w:rsidR="000F75A5">
          <w:rPr>
            <w:webHidden/>
          </w:rPr>
          <w:instrText xml:space="preserve"> PAGEREF _Toc75438389 \h </w:instrText>
        </w:r>
        <w:r w:rsidR="000F75A5">
          <w:rPr>
            <w:webHidden/>
          </w:rPr>
        </w:r>
        <w:r w:rsidR="000F75A5">
          <w:rPr>
            <w:webHidden/>
          </w:rPr>
          <w:fldChar w:fldCharType="separate"/>
        </w:r>
        <w:r w:rsidR="000F75A5">
          <w:rPr>
            <w:webHidden/>
          </w:rPr>
          <w:t>47</w:t>
        </w:r>
        <w:r w:rsidR="000F75A5">
          <w:rPr>
            <w:webHidden/>
          </w:rPr>
          <w:fldChar w:fldCharType="end"/>
        </w:r>
      </w:hyperlink>
    </w:p>
    <w:p w14:paraId="6FED26CD" w14:textId="297A0CD9" w:rsidR="000F75A5" w:rsidRDefault="00B6413C">
      <w:pPr>
        <w:pStyle w:val="TOC2"/>
        <w:tabs>
          <w:tab w:val="right" w:leader="dot" w:pos="9621"/>
        </w:tabs>
        <w:rPr>
          <w:rFonts w:asciiTheme="minorHAnsi" w:eastAsiaTheme="minorEastAsia" w:hAnsiTheme="minorHAnsi" w:cstheme="minorBidi"/>
          <w:noProof/>
          <w:lang w:eastAsia="en-GB"/>
        </w:rPr>
      </w:pPr>
      <w:hyperlink w:anchor="_Toc75438390" w:history="1">
        <w:r w:rsidR="000F75A5" w:rsidRPr="00FE7E91">
          <w:rPr>
            <w:rStyle w:val="Hyperlink"/>
            <w:noProof/>
          </w:rPr>
          <w:t>New or Changed Sources Identified Within South Tyneside Council During 2020.</w:t>
        </w:r>
        <w:r w:rsidR="000F75A5">
          <w:rPr>
            <w:noProof/>
            <w:webHidden/>
          </w:rPr>
          <w:tab/>
        </w:r>
        <w:r w:rsidR="000F75A5">
          <w:rPr>
            <w:noProof/>
            <w:webHidden/>
          </w:rPr>
          <w:fldChar w:fldCharType="begin"/>
        </w:r>
        <w:r w:rsidR="000F75A5">
          <w:rPr>
            <w:noProof/>
            <w:webHidden/>
          </w:rPr>
          <w:instrText xml:space="preserve"> PAGEREF _Toc75438390 \h </w:instrText>
        </w:r>
        <w:r w:rsidR="000F75A5">
          <w:rPr>
            <w:noProof/>
            <w:webHidden/>
          </w:rPr>
        </w:r>
        <w:r w:rsidR="000F75A5">
          <w:rPr>
            <w:noProof/>
            <w:webHidden/>
          </w:rPr>
          <w:fldChar w:fldCharType="separate"/>
        </w:r>
        <w:r w:rsidR="000F75A5">
          <w:rPr>
            <w:noProof/>
            <w:webHidden/>
          </w:rPr>
          <w:t>47</w:t>
        </w:r>
        <w:r w:rsidR="000F75A5">
          <w:rPr>
            <w:noProof/>
            <w:webHidden/>
          </w:rPr>
          <w:fldChar w:fldCharType="end"/>
        </w:r>
      </w:hyperlink>
    </w:p>
    <w:p w14:paraId="77F67656" w14:textId="1402F914" w:rsidR="000F75A5" w:rsidRDefault="00B6413C">
      <w:pPr>
        <w:pStyle w:val="TOC2"/>
        <w:tabs>
          <w:tab w:val="right" w:leader="dot" w:pos="9621"/>
        </w:tabs>
        <w:rPr>
          <w:rFonts w:asciiTheme="minorHAnsi" w:eastAsiaTheme="minorEastAsia" w:hAnsiTheme="minorHAnsi" w:cstheme="minorBidi"/>
          <w:noProof/>
          <w:lang w:eastAsia="en-GB"/>
        </w:rPr>
      </w:pPr>
      <w:hyperlink w:anchor="_Toc75438391" w:history="1">
        <w:r w:rsidR="000F75A5" w:rsidRPr="00FE7E91">
          <w:rPr>
            <w:rStyle w:val="Hyperlink"/>
            <w:noProof/>
          </w:rPr>
          <w:t>Additional Air Quality Works Undertaken by South Tyneside Council During 2020.</w:t>
        </w:r>
        <w:r w:rsidR="000F75A5">
          <w:rPr>
            <w:noProof/>
            <w:webHidden/>
          </w:rPr>
          <w:tab/>
        </w:r>
        <w:r w:rsidR="000F75A5">
          <w:rPr>
            <w:noProof/>
            <w:webHidden/>
          </w:rPr>
          <w:fldChar w:fldCharType="begin"/>
        </w:r>
        <w:r w:rsidR="000F75A5">
          <w:rPr>
            <w:noProof/>
            <w:webHidden/>
          </w:rPr>
          <w:instrText xml:space="preserve"> PAGEREF _Toc75438391 \h </w:instrText>
        </w:r>
        <w:r w:rsidR="000F75A5">
          <w:rPr>
            <w:noProof/>
            <w:webHidden/>
          </w:rPr>
        </w:r>
        <w:r w:rsidR="000F75A5">
          <w:rPr>
            <w:noProof/>
            <w:webHidden/>
          </w:rPr>
          <w:fldChar w:fldCharType="separate"/>
        </w:r>
        <w:r w:rsidR="000F75A5">
          <w:rPr>
            <w:noProof/>
            <w:webHidden/>
          </w:rPr>
          <w:t>47</w:t>
        </w:r>
        <w:r w:rsidR="000F75A5">
          <w:rPr>
            <w:noProof/>
            <w:webHidden/>
          </w:rPr>
          <w:fldChar w:fldCharType="end"/>
        </w:r>
      </w:hyperlink>
    </w:p>
    <w:p w14:paraId="4526C8CA" w14:textId="1911E688" w:rsidR="000F75A5" w:rsidRDefault="00B6413C">
      <w:pPr>
        <w:pStyle w:val="TOC2"/>
        <w:tabs>
          <w:tab w:val="right" w:leader="dot" w:pos="9621"/>
        </w:tabs>
        <w:rPr>
          <w:rFonts w:asciiTheme="minorHAnsi" w:eastAsiaTheme="minorEastAsia" w:hAnsiTheme="minorHAnsi" w:cstheme="minorBidi"/>
          <w:noProof/>
          <w:lang w:eastAsia="en-GB"/>
        </w:rPr>
      </w:pPr>
      <w:hyperlink w:anchor="_Toc75438392" w:history="1">
        <w:r w:rsidR="000F75A5" w:rsidRPr="00FE7E91">
          <w:rPr>
            <w:rStyle w:val="Hyperlink"/>
            <w:noProof/>
          </w:rPr>
          <w:t>QA/QC of Diffusion Tube Monitoring</w:t>
        </w:r>
        <w:r w:rsidR="000F75A5">
          <w:rPr>
            <w:noProof/>
            <w:webHidden/>
          </w:rPr>
          <w:tab/>
        </w:r>
        <w:r w:rsidR="000F75A5">
          <w:rPr>
            <w:noProof/>
            <w:webHidden/>
          </w:rPr>
          <w:fldChar w:fldCharType="begin"/>
        </w:r>
        <w:r w:rsidR="000F75A5">
          <w:rPr>
            <w:noProof/>
            <w:webHidden/>
          </w:rPr>
          <w:instrText xml:space="preserve"> PAGEREF _Toc75438392 \h </w:instrText>
        </w:r>
        <w:r w:rsidR="000F75A5">
          <w:rPr>
            <w:noProof/>
            <w:webHidden/>
          </w:rPr>
        </w:r>
        <w:r w:rsidR="000F75A5">
          <w:rPr>
            <w:noProof/>
            <w:webHidden/>
          </w:rPr>
          <w:fldChar w:fldCharType="separate"/>
        </w:r>
        <w:r w:rsidR="000F75A5">
          <w:rPr>
            <w:noProof/>
            <w:webHidden/>
          </w:rPr>
          <w:t>47</w:t>
        </w:r>
        <w:r w:rsidR="000F75A5">
          <w:rPr>
            <w:noProof/>
            <w:webHidden/>
          </w:rPr>
          <w:fldChar w:fldCharType="end"/>
        </w:r>
      </w:hyperlink>
    </w:p>
    <w:p w14:paraId="7BF1B77C" w14:textId="0BEB402D" w:rsidR="000F75A5" w:rsidRDefault="00B6413C">
      <w:pPr>
        <w:pStyle w:val="TOC3"/>
        <w:tabs>
          <w:tab w:val="right" w:leader="dot" w:pos="9621"/>
        </w:tabs>
        <w:rPr>
          <w:rFonts w:asciiTheme="minorHAnsi" w:eastAsiaTheme="minorEastAsia" w:hAnsiTheme="minorHAnsi" w:cstheme="minorBidi"/>
          <w:noProof/>
          <w:sz w:val="22"/>
          <w:lang w:eastAsia="en-GB"/>
        </w:rPr>
      </w:pPr>
      <w:hyperlink w:anchor="_Toc75438393" w:history="1">
        <w:r w:rsidR="000F75A5" w:rsidRPr="00FE7E91">
          <w:rPr>
            <w:rStyle w:val="Hyperlink"/>
            <w:noProof/>
          </w:rPr>
          <w:t>Diffusion Tube Annualisation</w:t>
        </w:r>
        <w:r w:rsidR="000F75A5">
          <w:rPr>
            <w:noProof/>
            <w:webHidden/>
          </w:rPr>
          <w:tab/>
        </w:r>
        <w:r w:rsidR="000F75A5">
          <w:rPr>
            <w:noProof/>
            <w:webHidden/>
          </w:rPr>
          <w:fldChar w:fldCharType="begin"/>
        </w:r>
        <w:r w:rsidR="000F75A5">
          <w:rPr>
            <w:noProof/>
            <w:webHidden/>
          </w:rPr>
          <w:instrText xml:space="preserve"> PAGEREF _Toc75438393 \h </w:instrText>
        </w:r>
        <w:r w:rsidR="000F75A5">
          <w:rPr>
            <w:noProof/>
            <w:webHidden/>
          </w:rPr>
        </w:r>
        <w:r w:rsidR="000F75A5">
          <w:rPr>
            <w:noProof/>
            <w:webHidden/>
          </w:rPr>
          <w:fldChar w:fldCharType="separate"/>
        </w:r>
        <w:r w:rsidR="000F75A5">
          <w:rPr>
            <w:noProof/>
            <w:webHidden/>
          </w:rPr>
          <w:t>48</w:t>
        </w:r>
        <w:r w:rsidR="000F75A5">
          <w:rPr>
            <w:noProof/>
            <w:webHidden/>
          </w:rPr>
          <w:fldChar w:fldCharType="end"/>
        </w:r>
      </w:hyperlink>
    </w:p>
    <w:p w14:paraId="0319028B" w14:textId="4247FAD7" w:rsidR="000F75A5" w:rsidRDefault="00B6413C">
      <w:pPr>
        <w:pStyle w:val="TOC3"/>
        <w:tabs>
          <w:tab w:val="right" w:leader="dot" w:pos="9621"/>
        </w:tabs>
        <w:rPr>
          <w:rFonts w:asciiTheme="minorHAnsi" w:eastAsiaTheme="minorEastAsia" w:hAnsiTheme="minorHAnsi" w:cstheme="minorBidi"/>
          <w:noProof/>
          <w:sz w:val="22"/>
          <w:lang w:eastAsia="en-GB"/>
        </w:rPr>
      </w:pPr>
      <w:hyperlink w:anchor="_Toc75438394" w:history="1">
        <w:r w:rsidR="000F75A5" w:rsidRPr="00FE7E91">
          <w:rPr>
            <w:rStyle w:val="Hyperlink"/>
            <w:noProof/>
          </w:rPr>
          <w:t>Diffusion Tube Bias Adjustment Factors</w:t>
        </w:r>
        <w:r w:rsidR="000F75A5">
          <w:rPr>
            <w:noProof/>
            <w:webHidden/>
          </w:rPr>
          <w:tab/>
        </w:r>
        <w:r w:rsidR="000F75A5">
          <w:rPr>
            <w:noProof/>
            <w:webHidden/>
          </w:rPr>
          <w:fldChar w:fldCharType="begin"/>
        </w:r>
        <w:r w:rsidR="000F75A5">
          <w:rPr>
            <w:noProof/>
            <w:webHidden/>
          </w:rPr>
          <w:instrText xml:space="preserve"> PAGEREF _Toc75438394 \h </w:instrText>
        </w:r>
        <w:r w:rsidR="000F75A5">
          <w:rPr>
            <w:noProof/>
            <w:webHidden/>
          </w:rPr>
        </w:r>
        <w:r w:rsidR="000F75A5">
          <w:rPr>
            <w:noProof/>
            <w:webHidden/>
          </w:rPr>
          <w:fldChar w:fldCharType="separate"/>
        </w:r>
        <w:r w:rsidR="000F75A5">
          <w:rPr>
            <w:noProof/>
            <w:webHidden/>
          </w:rPr>
          <w:t>49</w:t>
        </w:r>
        <w:r w:rsidR="000F75A5">
          <w:rPr>
            <w:noProof/>
            <w:webHidden/>
          </w:rPr>
          <w:fldChar w:fldCharType="end"/>
        </w:r>
      </w:hyperlink>
    </w:p>
    <w:p w14:paraId="71833096" w14:textId="7311E5EB" w:rsidR="000F75A5" w:rsidRDefault="00B6413C">
      <w:pPr>
        <w:pStyle w:val="TOC3"/>
        <w:tabs>
          <w:tab w:val="right" w:leader="dot" w:pos="9621"/>
        </w:tabs>
        <w:rPr>
          <w:rFonts w:asciiTheme="minorHAnsi" w:eastAsiaTheme="minorEastAsia" w:hAnsiTheme="minorHAnsi" w:cstheme="minorBidi"/>
          <w:noProof/>
          <w:sz w:val="22"/>
          <w:lang w:eastAsia="en-GB"/>
        </w:rPr>
      </w:pPr>
      <w:hyperlink w:anchor="_Toc75438395" w:history="1">
        <w:r w:rsidR="000F75A5" w:rsidRPr="00FE7E91">
          <w:rPr>
            <w:rStyle w:val="Hyperlink"/>
            <w:noProof/>
          </w:rPr>
          <w:t>NO</w:t>
        </w:r>
        <w:r w:rsidR="000F75A5" w:rsidRPr="00FE7E91">
          <w:rPr>
            <w:rStyle w:val="Hyperlink"/>
            <w:noProof/>
            <w:vertAlign w:val="subscript"/>
          </w:rPr>
          <w:t>2</w:t>
        </w:r>
        <w:r w:rsidR="000F75A5" w:rsidRPr="00FE7E91">
          <w:rPr>
            <w:rStyle w:val="Hyperlink"/>
            <w:noProof/>
          </w:rPr>
          <w:t xml:space="preserve"> Fall-off with Distance from the Road</w:t>
        </w:r>
        <w:r w:rsidR="000F75A5">
          <w:rPr>
            <w:noProof/>
            <w:webHidden/>
          </w:rPr>
          <w:tab/>
        </w:r>
        <w:r w:rsidR="000F75A5">
          <w:rPr>
            <w:noProof/>
            <w:webHidden/>
          </w:rPr>
          <w:fldChar w:fldCharType="begin"/>
        </w:r>
        <w:r w:rsidR="000F75A5">
          <w:rPr>
            <w:noProof/>
            <w:webHidden/>
          </w:rPr>
          <w:instrText xml:space="preserve"> PAGEREF _Toc75438395 \h </w:instrText>
        </w:r>
        <w:r w:rsidR="000F75A5">
          <w:rPr>
            <w:noProof/>
            <w:webHidden/>
          </w:rPr>
        </w:r>
        <w:r w:rsidR="000F75A5">
          <w:rPr>
            <w:noProof/>
            <w:webHidden/>
          </w:rPr>
          <w:fldChar w:fldCharType="separate"/>
        </w:r>
        <w:r w:rsidR="000F75A5">
          <w:rPr>
            <w:noProof/>
            <w:webHidden/>
          </w:rPr>
          <w:t>50</w:t>
        </w:r>
        <w:r w:rsidR="000F75A5">
          <w:rPr>
            <w:noProof/>
            <w:webHidden/>
          </w:rPr>
          <w:fldChar w:fldCharType="end"/>
        </w:r>
      </w:hyperlink>
    </w:p>
    <w:p w14:paraId="50EBDD22" w14:textId="67CA0DAD" w:rsidR="000F75A5" w:rsidRDefault="00B6413C">
      <w:pPr>
        <w:pStyle w:val="TOC2"/>
        <w:tabs>
          <w:tab w:val="right" w:leader="dot" w:pos="9621"/>
        </w:tabs>
        <w:rPr>
          <w:rFonts w:asciiTheme="minorHAnsi" w:eastAsiaTheme="minorEastAsia" w:hAnsiTheme="minorHAnsi" w:cstheme="minorBidi"/>
          <w:noProof/>
          <w:lang w:eastAsia="en-GB"/>
        </w:rPr>
      </w:pPr>
      <w:hyperlink w:anchor="_Toc75438396" w:history="1">
        <w:r w:rsidR="000F75A5" w:rsidRPr="00FE7E91">
          <w:rPr>
            <w:rStyle w:val="Hyperlink"/>
            <w:noProof/>
          </w:rPr>
          <w:t>QA/QC of Automatic Monitoring</w:t>
        </w:r>
        <w:r w:rsidR="000F75A5">
          <w:rPr>
            <w:noProof/>
            <w:webHidden/>
          </w:rPr>
          <w:tab/>
        </w:r>
        <w:r w:rsidR="000F75A5">
          <w:rPr>
            <w:noProof/>
            <w:webHidden/>
          </w:rPr>
          <w:fldChar w:fldCharType="begin"/>
        </w:r>
        <w:r w:rsidR="000F75A5">
          <w:rPr>
            <w:noProof/>
            <w:webHidden/>
          </w:rPr>
          <w:instrText xml:space="preserve"> PAGEREF _Toc75438396 \h </w:instrText>
        </w:r>
        <w:r w:rsidR="000F75A5">
          <w:rPr>
            <w:noProof/>
            <w:webHidden/>
          </w:rPr>
        </w:r>
        <w:r w:rsidR="000F75A5">
          <w:rPr>
            <w:noProof/>
            <w:webHidden/>
          </w:rPr>
          <w:fldChar w:fldCharType="separate"/>
        </w:r>
        <w:r w:rsidR="000F75A5">
          <w:rPr>
            <w:noProof/>
            <w:webHidden/>
          </w:rPr>
          <w:t>51</w:t>
        </w:r>
        <w:r w:rsidR="000F75A5">
          <w:rPr>
            <w:noProof/>
            <w:webHidden/>
          </w:rPr>
          <w:fldChar w:fldCharType="end"/>
        </w:r>
      </w:hyperlink>
    </w:p>
    <w:p w14:paraId="038F4ED3" w14:textId="714F6756" w:rsidR="000F75A5" w:rsidRDefault="00B6413C">
      <w:pPr>
        <w:pStyle w:val="TOC3"/>
        <w:tabs>
          <w:tab w:val="right" w:leader="dot" w:pos="9621"/>
        </w:tabs>
        <w:rPr>
          <w:rFonts w:asciiTheme="minorHAnsi" w:eastAsiaTheme="minorEastAsia" w:hAnsiTheme="minorHAnsi" w:cstheme="minorBidi"/>
          <w:noProof/>
          <w:sz w:val="22"/>
          <w:lang w:eastAsia="en-GB"/>
        </w:rPr>
      </w:pPr>
      <w:hyperlink w:anchor="_Toc75438397" w:history="1">
        <w:r w:rsidR="000F75A5" w:rsidRPr="00FE7E91">
          <w:rPr>
            <w:rStyle w:val="Hyperlink"/>
            <w:noProof/>
          </w:rPr>
          <w:t>PM</w:t>
        </w:r>
        <w:r w:rsidR="000F75A5" w:rsidRPr="00FE7E91">
          <w:rPr>
            <w:rStyle w:val="Hyperlink"/>
            <w:noProof/>
            <w:vertAlign w:val="subscript"/>
          </w:rPr>
          <w:t>10</w:t>
        </w:r>
        <w:r w:rsidR="000F75A5" w:rsidRPr="00FE7E91">
          <w:rPr>
            <w:rStyle w:val="Hyperlink"/>
            <w:noProof/>
          </w:rPr>
          <w:t xml:space="preserve"> and PM</w:t>
        </w:r>
        <w:r w:rsidR="000F75A5" w:rsidRPr="00FE7E91">
          <w:rPr>
            <w:rStyle w:val="Hyperlink"/>
            <w:noProof/>
            <w:vertAlign w:val="subscript"/>
          </w:rPr>
          <w:t xml:space="preserve">2.5 </w:t>
        </w:r>
        <w:r w:rsidR="000F75A5" w:rsidRPr="00FE7E91">
          <w:rPr>
            <w:rStyle w:val="Hyperlink"/>
            <w:noProof/>
          </w:rPr>
          <w:t>Monitoring Adjustment</w:t>
        </w:r>
        <w:r w:rsidR="000F75A5">
          <w:rPr>
            <w:noProof/>
            <w:webHidden/>
          </w:rPr>
          <w:tab/>
        </w:r>
        <w:r w:rsidR="000F75A5">
          <w:rPr>
            <w:noProof/>
            <w:webHidden/>
          </w:rPr>
          <w:fldChar w:fldCharType="begin"/>
        </w:r>
        <w:r w:rsidR="000F75A5">
          <w:rPr>
            <w:noProof/>
            <w:webHidden/>
          </w:rPr>
          <w:instrText xml:space="preserve"> PAGEREF _Toc75438397 \h </w:instrText>
        </w:r>
        <w:r w:rsidR="000F75A5">
          <w:rPr>
            <w:noProof/>
            <w:webHidden/>
          </w:rPr>
        </w:r>
        <w:r w:rsidR="000F75A5">
          <w:rPr>
            <w:noProof/>
            <w:webHidden/>
          </w:rPr>
          <w:fldChar w:fldCharType="separate"/>
        </w:r>
        <w:r w:rsidR="000F75A5">
          <w:rPr>
            <w:noProof/>
            <w:webHidden/>
          </w:rPr>
          <w:t>51</w:t>
        </w:r>
        <w:r w:rsidR="000F75A5">
          <w:rPr>
            <w:noProof/>
            <w:webHidden/>
          </w:rPr>
          <w:fldChar w:fldCharType="end"/>
        </w:r>
      </w:hyperlink>
    </w:p>
    <w:p w14:paraId="2BCFB697" w14:textId="0DE6633C" w:rsidR="000F75A5" w:rsidRDefault="00B6413C">
      <w:pPr>
        <w:pStyle w:val="TOC3"/>
        <w:tabs>
          <w:tab w:val="right" w:leader="dot" w:pos="9621"/>
        </w:tabs>
        <w:rPr>
          <w:rFonts w:asciiTheme="minorHAnsi" w:eastAsiaTheme="minorEastAsia" w:hAnsiTheme="minorHAnsi" w:cstheme="minorBidi"/>
          <w:noProof/>
          <w:sz w:val="22"/>
          <w:lang w:eastAsia="en-GB"/>
        </w:rPr>
      </w:pPr>
      <w:hyperlink w:anchor="_Toc75438398" w:history="1">
        <w:r w:rsidR="000F75A5" w:rsidRPr="00FE7E91">
          <w:rPr>
            <w:rStyle w:val="Hyperlink"/>
            <w:noProof/>
          </w:rPr>
          <w:t>Automatic Monitoring Annualisation</w:t>
        </w:r>
        <w:r w:rsidR="000F75A5">
          <w:rPr>
            <w:noProof/>
            <w:webHidden/>
          </w:rPr>
          <w:tab/>
        </w:r>
        <w:r w:rsidR="000F75A5">
          <w:rPr>
            <w:noProof/>
            <w:webHidden/>
          </w:rPr>
          <w:fldChar w:fldCharType="begin"/>
        </w:r>
        <w:r w:rsidR="000F75A5">
          <w:rPr>
            <w:noProof/>
            <w:webHidden/>
          </w:rPr>
          <w:instrText xml:space="preserve"> PAGEREF _Toc75438398 \h </w:instrText>
        </w:r>
        <w:r w:rsidR="000F75A5">
          <w:rPr>
            <w:noProof/>
            <w:webHidden/>
          </w:rPr>
        </w:r>
        <w:r w:rsidR="000F75A5">
          <w:rPr>
            <w:noProof/>
            <w:webHidden/>
          </w:rPr>
          <w:fldChar w:fldCharType="separate"/>
        </w:r>
        <w:r w:rsidR="000F75A5">
          <w:rPr>
            <w:noProof/>
            <w:webHidden/>
          </w:rPr>
          <w:t>51</w:t>
        </w:r>
        <w:r w:rsidR="000F75A5">
          <w:rPr>
            <w:noProof/>
            <w:webHidden/>
          </w:rPr>
          <w:fldChar w:fldCharType="end"/>
        </w:r>
      </w:hyperlink>
    </w:p>
    <w:p w14:paraId="5A9C92B3" w14:textId="625001FB" w:rsidR="000F75A5" w:rsidRDefault="00B6413C">
      <w:pPr>
        <w:pStyle w:val="TOC3"/>
        <w:tabs>
          <w:tab w:val="right" w:leader="dot" w:pos="9621"/>
        </w:tabs>
        <w:rPr>
          <w:rFonts w:asciiTheme="minorHAnsi" w:eastAsiaTheme="minorEastAsia" w:hAnsiTheme="minorHAnsi" w:cstheme="minorBidi"/>
          <w:noProof/>
          <w:sz w:val="22"/>
          <w:lang w:eastAsia="en-GB"/>
        </w:rPr>
      </w:pPr>
      <w:hyperlink w:anchor="_Toc75438399" w:history="1">
        <w:r w:rsidR="000F75A5" w:rsidRPr="00FE7E91">
          <w:rPr>
            <w:rStyle w:val="Hyperlink"/>
            <w:noProof/>
          </w:rPr>
          <w:t>NO</w:t>
        </w:r>
        <w:r w:rsidR="000F75A5" w:rsidRPr="00FE7E91">
          <w:rPr>
            <w:rStyle w:val="Hyperlink"/>
            <w:noProof/>
            <w:vertAlign w:val="subscript"/>
          </w:rPr>
          <w:t>2</w:t>
        </w:r>
        <w:r w:rsidR="000F75A5" w:rsidRPr="00FE7E91">
          <w:rPr>
            <w:rStyle w:val="Hyperlink"/>
            <w:noProof/>
          </w:rPr>
          <w:t xml:space="preserve"> Fall-off with Distance from the Road</w:t>
        </w:r>
        <w:r w:rsidR="000F75A5">
          <w:rPr>
            <w:noProof/>
            <w:webHidden/>
          </w:rPr>
          <w:tab/>
        </w:r>
        <w:r w:rsidR="000F75A5">
          <w:rPr>
            <w:noProof/>
            <w:webHidden/>
          </w:rPr>
          <w:fldChar w:fldCharType="begin"/>
        </w:r>
        <w:r w:rsidR="000F75A5">
          <w:rPr>
            <w:noProof/>
            <w:webHidden/>
          </w:rPr>
          <w:instrText xml:space="preserve"> PAGEREF _Toc75438399 \h </w:instrText>
        </w:r>
        <w:r w:rsidR="000F75A5">
          <w:rPr>
            <w:noProof/>
            <w:webHidden/>
          </w:rPr>
        </w:r>
        <w:r w:rsidR="000F75A5">
          <w:rPr>
            <w:noProof/>
            <w:webHidden/>
          </w:rPr>
          <w:fldChar w:fldCharType="separate"/>
        </w:r>
        <w:r w:rsidR="000F75A5">
          <w:rPr>
            <w:noProof/>
            <w:webHidden/>
          </w:rPr>
          <w:t>51</w:t>
        </w:r>
        <w:r w:rsidR="000F75A5">
          <w:rPr>
            <w:noProof/>
            <w:webHidden/>
          </w:rPr>
          <w:fldChar w:fldCharType="end"/>
        </w:r>
      </w:hyperlink>
    </w:p>
    <w:p w14:paraId="43B4C0AF" w14:textId="52E97E6C" w:rsidR="000F75A5" w:rsidRDefault="00B6413C">
      <w:pPr>
        <w:pStyle w:val="TOC1"/>
        <w:rPr>
          <w:rFonts w:asciiTheme="minorHAnsi" w:eastAsiaTheme="minorEastAsia" w:hAnsiTheme="minorHAnsi" w:cstheme="minorBidi"/>
          <w:b w:val="0"/>
          <w:color w:val="auto"/>
          <w:sz w:val="22"/>
          <w:lang w:eastAsia="en-GB"/>
        </w:rPr>
      </w:pPr>
      <w:hyperlink w:anchor="_Toc75438400" w:history="1">
        <w:r w:rsidR="000F75A5" w:rsidRPr="00FE7E91">
          <w:rPr>
            <w:rStyle w:val="Hyperlink"/>
          </w:rPr>
          <w:t>Appendix D: Map(s) of Monitoring Locations and AQMAs</w:t>
        </w:r>
        <w:r w:rsidR="000F75A5">
          <w:rPr>
            <w:webHidden/>
          </w:rPr>
          <w:tab/>
        </w:r>
        <w:r w:rsidR="000F75A5">
          <w:rPr>
            <w:webHidden/>
          </w:rPr>
          <w:fldChar w:fldCharType="begin"/>
        </w:r>
        <w:r w:rsidR="000F75A5">
          <w:rPr>
            <w:webHidden/>
          </w:rPr>
          <w:instrText xml:space="preserve"> PAGEREF _Toc75438400 \h </w:instrText>
        </w:r>
        <w:r w:rsidR="000F75A5">
          <w:rPr>
            <w:webHidden/>
          </w:rPr>
        </w:r>
        <w:r w:rsidR="000F75A5">
          <w:rPr>
            <w:webHidden/>
          </w:rPr>
          <w:fldChar w:fldCharType="separate"/>
        </w:r>
        <w:r w:rsidR="000F75A5">
          <w:rPr>
            <w:webHidden/>
          </w:rPr>
          <w:t>55</w:t>
        </w:r>
        <w:r w:rsidR="000F75A5">
          <w:rPr>
            <w:webHidden/>
          </w:rPr>
          <w:fldChar w:fldCharType="end"/>
        </w:r>
      </w:hyperlink>
    </w:p>
    <w:p w14:paraId="0850C362" w14:textId="55C6ADF2" w:rsidR="000F75A5" w:rsidRDefault="00B6413C">
      <w:pPr>
        <w:pStyle w:val="TOC1"/>
        <w:rPr>
          <w:rFonts w:asciiTheme="minorHAnsi" w:eastAsiaTheme="minorEastAsia" w:hAnsiTheme="minorHAnsi" w:cstheme="minorBidi"/>
          <w:b w:val="0"/>
          <w:color w:val="auto"/>
          <w:sz w:val="22"/>
          <w:lang w:eastAsia="en-GB"/>
        </w:rPr>
      </w:pPr>
      <w:hyperlink w:anchor="_Toc75438401" w:history="1">
        <w:r w:rsidR="000F75A5" w:rsidRPr="00FE7E91">
          <w:rPr>
            <w:rStyle w:val="Hyperlink"/>
          </w:rPr>
          <w:t>Appendix E: Summary of Air Quality Objectives in England</w:t>
        </w:r>
        <w:r w:rsidR="000F75A5">
          <w:rPr>
            <w:webHidden/>
          </w:rPr>
          <w:tab/>
        </w:r>
        <w:r w:rsidR="000F75A5">
          <w:rPr>
            <w:webHidden/>
          </w:rPr>
          <w:fldChar w:fldCharType="begin"/>
        </w:r>
        <w:r w:rsidR="000F75A5">
          <w:rPr>
            <w:webHidden/>
          </w:rPr>
          <w:instrText xml:space="preserve"> PAGEREF _Toc75438401 \h </w:instrText>
        </w:r>
        <w:r w:rsidR="000F75A5">
          <w:rPr>
            <w:webHidden/>
          </w:rPr>
        </w:r>
        <w:r w:rsidR="000F75A5">
          <w:rPr>
            <w:webHidden/>
          </w:rPr>
          <w:fldChar w:fldCharType="separate"/>
        </w:r>
        <w:r w:rsidR="000F75A5">
          <w:rPr>
            <w:webHidden/>
          </w:rPr>
          <w:t>60</w:t>
        </w:r>
        <w:r w:rsidR="000F75A5">
          <w:rPr>
            <w:webHidden/>
          </w:rPr>
          <w:fldChar w:fldCharType="end"/>
        </w:r>
      </w:hyperlink>
    </w:p>
    <w:p w14:paraId="1D6436DC" w14:textId="4783C6BD" w:rsidR="000F75A5" w:rsidRDefault="00B6413C">
      <w:pPr>
        <w:pStyle w:val="TOC1"/>
        <w:rPr>
          <w:rFonts w:asciiTheme="minorHAnsi" w:eastAsiaTheme="minorEastAsia" w:hAnsiTheme="minorHAnsi" w:cstheme="minorBidi"/>
          <w:b w:val="0"/>
          <w:color w:val="auto"/>
          <w:sz w:val="22"/>
          <w:lang w:eastAsia="en-GB"/>
        </w:rPr>
      </w:pPr>
      <w:hyperlink w:anchor="_Toc75438402" w:history="1">
        <w:r w:rsidR="000F75A5" w:rsidRPr="00FE7E91">
          <w:rPr>
            <w:rStyle w:val="Hyperlink"/>
          </w:rPr>
          <w:t>Appendix F: Impact of COVID-19 upon LAQM</w:t>
        </w:r>
        <w:r w:rsidR="000F75A5">
          <w:rPr>
            <w:webHidden/>
          </w:rPr>
          <w:tab/>
        </w:r>
        <w:r w:rsidR="000F75A5">
          <w:rPr>
            <w:webHidden/>
          </w:rPr>
          <w:fldChar w:fldCharType="begin"/>
        </w:r>
        <w:r w:rsidR="000F75A5">
          <w:rPr>
            <w:webHidden/>
          </w:rPr>
          <w:instrText xml:space="preserve"> PAGEREF _Toc75438402 \h </w:instrText>
        </w:r>
        <w:r w:rsidR="000F75A5">
          <w:rPr>
            <w:webHidden/>
          </w:rPr>
        </w:r>
        <w:r w:rsidR="000F75A5">
          <w:rPr>
            <w:webHidden/>
          </w:rPr>
          <w:fldChar w:fldCharType="separate"/>
        </w:r>
        <w:r w:rsidR="000F75A5">
          <w:rPr>
            <w:webHidden/>
          </w:rPr>
          <w:t>61</w:t>
        </w:r>
        <w:r w:rsidR="000F75A5">
          <w:rPr>
            <w:webHidden/>
          </w:rPr>
          <w:fldChar w:fldCharType="end"/>
        </w:r>
      </w:hyperlink>
    </w:p>
    <w:p w14:paraId="28994880" w14:textId="4293722F" w:rsidR="000F75A5" w:rsidRDefault="00B6413C">
      <w:pPr>
        <w:pStyle w:val="TOC2"/>
        <w:tabs>
          <w:tab w:val="right" w:leader="dot" w:pos="9621"/>
        </w:tabs>
        <w:rPr>
          <w:rFonts w:asciiTheme="minorHAnsi" w:eastAsiaTheme="minorEastAsia" w:hAnsiTheme="minorHAnsi" w:cstheme="minorBidi"/>
          <w:noProof/>
          <w:lang w:eastAsia="en-GB"/>
        </w:rPr>
      </w:pPr>
      <w:hyperlink w:anchor="_Toc75438403" w:history="1">
        <w:r w:rsidR="000F75A5" w:rsidRPr="00FE7E91">
          <w:rPr>
            <w:rStyle w:val="Hyperlink"/>
            <w:noProof/>
          </w:rPr>
          <w:t>Impacts of COVID-19 on Air Quality within South Tyneside</w:t>
        </w:r>
        <w:r w:rsidR="000F75A5">
          <w:rPr>
            <w:noProof/>
            <w:webHidden/>
          </w:rPr>
          <w:tab/>
        </w:r>
        <w:r w:rsidR="000F75A5">
          <w:rPr>
            <w:noProof/>
            <w:webHidden/>
          </w:rPr>
          <w:fldChar w:fldCharType="begin"/>
        </w:r>
        <w:r w:rsidR="000F75A5">
          <w:rPr>
            <w:noProof/>
            <w:webHidden/>
          </w:rPr>
          <w:instrText xml:space="preserve"> PAGEREF _Toc75438403 \h </w:instrText>
        </w:r>
        <w:r w:rsidR="000F75A5">
          <w:rPr>
            <w:noProof/>
            <w:webHidden/>
          </w:rPr>
        </w:r>
        <w:r w:rsidR="000F75A5">
          <w:rPr>
            <w:noProof/>
            <w:webHidden/>
          </w:rPr>
          <w:fldChar w:fldCharType="separate"/>
        </w:r>
        <w:r w:rsidR="000F75A5">
          <w:rPr>
            <w:noProof/>
            <w:webHidden/>
          </w:rPr>
          <w:t>62</w:t>
        </w:r>
        <w:r w:rsidR="000F75A5">
          <w:rPr>
            <w:noProof/>
            <w:webHidden/>
          </w:rPr>
          <w:fldChar w:fldCharType="end"/>
        </w:r>
      </w:hyperlink>
    </w:p>
    <w:p w14:paraId="1B7F2148" w14:textId="73808D0D" w:rsidR="000F75A5" w:rsidRDefault="00B6413C">
      <w:pPr>
        <w:pStyle w:val="TOC3"/>
        <w:tabs>
          <w:tab w:val="right" w:leader="dot" w:pos="9621"/>
        </w:tabs>
        <w:rPr>
          <w:rFonts w:asciiTheme="minorHAnsi" w:eastAsiaTheme="minorEastAsia" w:hAnsiTheme="minorHAnsi" w:cstheme="minorBidi"/>
          <w:noProof/>
          <w:sz w:val="22"/>
          <w:lang w:eastAsia="en-GB"/>
        </w:rPr>
      </w:pPr>
      <w:hyperlink w:anchor="_Toc75438404" w:history="1">
        <w:r w:rsidR="000F75A5" w:rsidRPr="00FE7E91">
          <w:rPr>
            <w:rStyle w:val="Hyperlink"/>
            <w:noProof/>
          </w:rPr>
          <w:t>Non continuous monitoring stations</w:t>
        </w:r>
        <w:r w:rsidR="000F75A5">
          <w:rPr>
            <w:noProof/>
            <w:webHidden/>
          </w:rPr>
          <w:tab/>
        </w:r>
        <w:r w:rsidR="000F75A5">
          <w:rPr>
            <w:noProof/>
            <w:webHidden/>
          </w:rPr>
          <w:fldChar w:fldCharType="begin"/>
        </w:r>
        <w:r w:rsidR="000F75A5">
          <w:rPr>
            <w:noProof/>
            <w:webHidden/>
          </w:rPr>
          <w:instrText xml:space="preserve"> PAGEREF _Toc75438404 \h </w:instrText>
        </w:r>
        <w:r w:rsidR="000F75A5">
          <w:rPr>
            <w:noProof/>
            <w:webHidden/>
          </w:rPr>
        </w:r>
        <w:r w:rsidR="000F75A5">
          <w:rPr>
            <w:noProof/>
            <w:webHidden/>
          </w:rPr>
          <w:fldChar w:fldCharType="separate"/>
        </w:r>
        <w:r w:rsidR="000F75A5">
          <w:rPr>
            <w:noProof/>
            <w:webHidden/>
          </w:rPr>
          <w:t>62</w:t>
        </w:r>
        <w:r w:rsidR="000F75A5">
          <w:rPr>
            <w:noProof/>
            <w:webHidden/>
          </w:rPr>
          <w:fldChar w:fldCharType="end"/>
        </w:r>
      </w:hyperlink>
    </w:p>
    <w:p w14:paraId="772C8545" w14:textId="3038D9E0" w:rsidR="000F75A5" w:rsidRDefault="00B6413C">
      <w:pPr>
        <w:pStyle w:val="TOC3"/>
        <w:tabs>
          <w:tab w:val="right" w:leader="dot" w:pos="9621"/>
        </w:tabs>
        <w:rPr>
          <w:rFonts w:asciiTheme="minorHAnsi" w:eastAsiaTheme="minorEastAsia" w:hAnsiTheme="minorHAnsi" w:cstheme="minorBidi"/>
          <w:noProof/>
          <w:sz w:val="22"/>
          <w:lang w:eastAsia="en-GB"/>
        </w:rPr>
      </w:pPr>
      <w:hyperlink w:anchor="_Toc75438405" w:history="1">
        <w:r w:rsidR="000F75A5" w:rsidRPr="00FE7E91">
          <w:rPr>
            <w:rStyle w:val="Hyperlink"/>
            <w:noProof/>
          </w:rPr>
          <w:t>Continuous monitoring stations.</w:t>
        </w:r>
        <w:r w:rsidR="000F75A5">
          <w:rPr>
            <w:noProof/>
            <w:webHidden/>
          </w:rPr>
          <w:tab/>
        </w:r>
        <w:r w:rsidR="000F75A5">
          <w:rPr>
            <w:noProof/>
            <w:webHidden/>
          </w:rPr>
          <w:fldChar w:fldCharType="begin"/>
        </w:r>
        <w:r w:rsidR="000F75A5">
          <w:rPr>
            <w:noProof/>
            <w:webHidden/>
          </w:rPr>
          <w:instrText xml:space="preserve"> PAGEREF _Toc75438405 \h </w:instrText>
        </w:r>
        <w:r w:rsidR="000F75A5">
          <w:rPr>
            <w:noProof/>
            <w:webHidden/>
          </w:rPr>
        </w:r>
        <w:r w:rsidR="000F75A5">
          <w:rPr>
            <w:noProof/>
            <w:webHidden/>
          </w:rPr>
          <w:fldChar w:fldCharType="separate"/>
        </w:r>
        <w:r w:rsidR="000F75A5">
          <w:rPr>
            <w:noProof/>
            <w:webHidden/>
          </w:rPr>
          <w:t>62</w:t>
        </w:r>
        <w:r w:rsidR="000F75A5">
          <w:rPr>
            <w:noProof/>
            <w:webHidden/>
          </w:rPr>
          <w:fldChar w:fldCharType="end"/>
        </w:r>
      </w:hyperlink>
    </w:p>
    <w:p w14:paraId="0201982A" w14:textId="530E5D3D" w:rsidR="000F75A5" w:rsidRDefault="00B6413C">
      <w:pPr>
        <w:pStyle w:val="TOC2"/>
        <w:tabs>
          <w:tab w:val="right" w:leader="dot" w:pos="9621"/>
        </w:tabs>
        <w:rPr>
          <w:rFonts w:asciiTheme="minorHAnsi" w:eastAsiaTheme="minorEastAsia" w:hAnsiTheme="minorHAnsi" w:cstheme="minorBidi"/>
          <w:noProof/>
          <w:lang w:eastAsia="en-GB"/>
        </w:rPr>
      </w:pPr>
      <w:hyperlink w:anchor="_Toc75438406" w:history="1">
        <w:r w:rsidR="000F75A5" w:rsidRPr="00FE7E91">
          <w:rPr>
            <w:rStyle w:val="Hyperlink"/>
            <w:noProof/>
          </w:rPr>
          <w:t>Lindisfarne Roundabout/ Leam Lane AQMA traffic levels</w:t>
        </w:r>
        <w:r w:rsidR="000F75A5">
          <w:rPr>
            <w:noProof/>
            <w:webHidden/>
          </w:rPr>
          <w:tab/>
        </w:r>
        <w:r w:rsidR="000F75A5">
          <w:rPr>
            <w:noProof/>
            <w:webHidden/>
          </w:rPr>
          <w:fldChar w:fldCharType="begin"/>
        </w:r>
        <w:r w:rsidR="000F75A5">
          <w:rPr>
            <w:noProof/>
            <w:webHidden/>
          </w:rPr>
          <w:instrText xml:space="preserve"> PAGEREF _Toc75438406 \h </w:instrText>
        </w:r>
        <w:r w:rsidR="000F75A5">
          <w:rPr>
            <w:noProof/>
            <w:webHidden/>
          </w:rPr>
        </w:r>
        <w:r w:rsidR="000F75A5">
          <w:rPr>
            <w:noProof/>
            <w:webHidden/>
          </w:rPr>
          <w:fldChar w:fldCharType="separate"/>
        </w:r>
        <w:r w:rsidR="000F75A5">
          <w:rPr>
            <w:noProof/>
            <w:webHidden/>
          </w:rPr>
          <w:t>63</w:t>
        </w:r>
        <w:r w:rsidR="000F75A5">
          <w:rPr>
            <w:noProof/>
            <w:webHidden/>
          </w:rPr>
          <w:fldChar w:fldCharType="end"/>
        </w:r>
      </w:hyperlink>
    </w:p>
    <w:p w14:paraId="12372C8C" w14:textId="7EB1FE48" w:rsidR="000F75A5" w:rsidRDefault="00B6413C">
      <w:pPr>
        <w:pStyle w:val="TOC2"/>
        <w:tabs>
          <w:tab w:val="right" w:leader="dot" w:pos="9621"/>
        </w:tabs>
        <w:rPr>
          <w:rFonts w:asciiTheme="minorHAnsi" w:eastAsiaTheme="minorEastAsia" w:hAnsiTheme="minorHAnsi" w:cstheme="minorBidi"/>
          <w:noProof/>
          <w:lang w:eastAsia="en-GB"/>
        </w:rPr>
      </w:pPr>
      <w:hyperlink w:anchor="_Toc75438407" w:history="1">
        <w:r w:rsidR="000F75A5" w:rsidRPr="00FE7E91">
          <w:rPr>
            <w:rStyle w:val="Hyperlink"/>
            <w:noProof/>
          </w:rPr>
          <w:t>Boldon Lane AQMA Traffic levels</w:t>
        </w:r>
        <w:r w:rsidR="000F75A5">
          <w:rPr>
            <w:noProof/>
            <w:webHidden/>
          </w:rPr>
          <w:tab/>
        </w:r>
        <w:r w:rsidR="000F75A5">
          <w:rPr>
            <w:noProof/>
            <w:webHidden/>
          </w:rPr>
          <w:fldChar w:fldCharType="begin"/>
        </w:r>
        <w:r w:rsidR="000F75A5">
          <w:rPr>
            <w:noProof/>
            <w:webHidden/>
          </w:rPr>
          <w:instrText xml:space="preserve"> PAGEREF _Toc75438407 \h </w:instrText>
        </w:r>
        <w:r w:rsidR="000F75A5">
          <w:rPr>
            <w:noProof/>
            <w:webHidden/>
          </w:rPr>
        </w:r>
        <w:r w:rsidR="000F75A5">
          <w:rPr>
            <w:noProof/>
            <w:webHidden/>
          </w:rPr>
          <w:fldChar w:fldCharType="separate"/>
        </w:r>
        <w:r w:rsidR="000F75A5">
          <w:rPr>
            <w:noProof/>
            <w:webHidden/>
          </w:rPr>
          <w:t>63</w:t>
        </w:r>
        <w:r w:rsidR="000F75A5">
          <w:rPr>
            <w:noProof/>
            <w:webHidden/>
          </w:rPr>
          <w:fldChar w:fldCharType="end"/>
        </w:r>
      </w:hyperlink>
    </w:p>
    <w:p w14:paraId="69B4AD8F" w14:textId="06064F5A" w:rsidR="000F75A5" w:rsidRDefault="00B6413C">
      <w:pPr>
        <w:pStyle w:val="TOC2"/>
        <w:tabs>
          <w:tab w:val="right" w:leader="dot" w:pos="9621"/>
        </w:tabs>
        <w:rPr>
          <w:rFonts w:asciiTheme="minorHAnsi" w:eastAsiaTheme="minorEastAsia" w:hAnsiTheme="minorHAnsi" w:cstheme="minorBidi"/>
          <w:noProof/>
          <w:lang w:eastAsia="en-GB"/>
        </w:rPr>
      </w:pPr>
      <w:hyperlink w:anchor="_Toc75438408" w:history="1">
        <w:r w:rsidR="000F75A5" w:rsidRPr="00FE7E91">
          <w:rPr>
            <w:rStyle w:val="Hyperlink"/>
            <w:noProof/>
          </w:rPr>
          <w:t>Opportunities Presented by COVID-19 upon LAQM within South Tyneside</w:t>
        </w:r>
        <w:r w:rsidR="000F75A5">
          <w:rPr>
            <w:noProof/>
            <w:webHidden/>
          </w:rPr>
          <w:tab/>
        </w:r>
        <w:r w:rsidR="000F75A5">
          <w:rPr>
            <w:noProof/>
            <w:webHidden/>
          </w:rPr>
          <w:fldChar w:fldCharType="begin"/>
        </w:r>
        <w:r w:rsidR="000F75A5">
          <w:rPr>
            <w:noProof/>
            <w:webHidden/>
          </w:rPr>
          <w:instrText xml:space="preserve"> PAGEREF _Toc75438408 \h </w:instrText>
        </w:r>
        <w:r w:rsidR="000F75A5">
          <w:rPr>
            <w:noProof/>
            <w:webHidden/>
          </w:rPr>
        </w:r>
        <w:r w:rsidR="000F75A5">
          <w:rPr>
            <w:noProof/>
            <w:webHidden/>
          </w:rPr>
          <w:fldChar w:fldCharType="separate"/>
        </w:r>
        <w:r w:rsidR="000F75A5">
          <w:rPr>
            <w:noProof/>
            <w:webHidden/>
          </w:rPr>
          <w:t>64</w:t>
        </w:r>
        <w:r w:rsidR="000F75A5">
          <w:rPr>
            <w:noProof/>
            <w:webHidden/>
          </w:rPr>
          <w:fldChar w:fldCharType="end"/>
        </w:r>
      </w:hyperlink>
    </w:p>
    <w:p w14:paraId="5373285B" w14:textId="4FFD815A" w:rsidR="000F75A5" w:rsidRDefault="00B6413C">
      <w:pPr>
        <w:pStyle w:val="TOC2"/>
        <w:tabs>
          <w:tab w:val="right" w:leader="dot" w:pos="9621"/>
        </w:tabs>
        <w:rPr>
          <w:rFonts w:asciiTheme="minorHAnsi" w:eastAsiaTheme="minorEastAsia" w:hAnsiTheme="minorHAnsi" w:cstheme="minorBidi"/>
          <w:noProof/>
          <w:lang w:eastAsia="en-GB"/>
        </w:rPr>
      </w:pPr>
      <w:hyperlink w:anchor="_Toc75438409" w:history="1">
        <w:r w:rsidR="000F75A5" w:rsidRPr="00FE7E91">
          <w:rPr>
            <w:rStyle w:val="Hyperlink"/>
            <w:noProof/>
          </w:rPr>
          <w:t>Challenges and Constraints Imposed by COVID-19 upon LAQM within South Tyneside</w:t>
        </w:r>
        <w:r w:rsidR="000F75A5">
          <w:rPr>
            <w:noProof/>
            <w:webHidden/>
          </w:rPr>
          <w:tab/>
        </w:r>
        <w:r w:rsidR="000F75A5">
          <w:rPr>
            <w:noProof/>
            <w:webHidden/>
          </w:rPr>
          <w:fldChar w:fldCharType="begin"/>
        </w:r>
        <w:r w:rsidR="000F75A5">
          <w:rPr>
            <w:noProof/>
            <w:webHidden/>
          </w:rPr>
          <w:instrText xml:space="preserve"> PAGEREF _Toc75438409 \h </w:instrText>
        </w:r>
        <w:r w:rsidR="000F75A5">
          <w:rPr>
            <w:noProof/>
            <w:webHidden/>
          </w:rPr>
        </w:r>
        <w:r w:rsidR="000F75A5">
          <w:rPr>
            <w:noProof/>
            <w:webHidden/>
          </w:rPr>
          <w:fldChar w:fldCharType="separate"/>
        </w:r>
        <w:r w:rsidR="000F75A5">
          <w:rPr>
            <w:noProof/>
            <w:webHidden/>
          </w:rPr>
          <w:t>64</w:t>
        </w:r>
        <w:r w:rsidR="000F75A5">
          <w:rPr>
            <w:noProof/>
            <w:webHidden/>
          </w:rPr>
          <w:fldChar w:fldCharType="end"/>
        </w:r>
      </w:hyperlink>
    </w:p>
    <w:p w14:paraId="03E009FF" w14:textId="2D41B525" w:rsidR="000F75A5" w:rsidRDefault="00B6413C">
      <w:pPr>
        <w:pStyle w:val="TOC1"/>
        <w:rPr>
          <w:rFonts w:asciiTheme="minorHAnsi" w:eastAsiaTheme="minorEastAsia" w:hAnsiTheme="minorHAnsi" w:cstheme="minorBidi"/>
          <w:b w:val="0"/>
          <w:color w:val="auto"/>
          <w:sz w:val="22"/>
          <w:lang w:eastAsia="en-GB"/>
        </w:rPr>
      </w:pPr>
      <w:hyperlink w:anchor="_Toc75438410" w:history="1">
        <w:r w:rsidR="000F75A5" w:rsidRPr="00FE7E91">
          <w:rPr>
            <w:rStyle w:val="Hyperlink"/>
          </w:rPr>
          <w:t>Glossary of Terms</w:t>
        </w:r>
        <w:r w:rsidR="000F75A5">
          <w:rPr>
            <w:webHidden/>
          </w:rPr>
          <w:tab/>
        </w:r>
        <w:r w:rsidR="000F75A5">
          <w:rPr>
            <w:webHidden/>
          </w:rPr>
          <w:fldChar w:fldCharType="begin"/>
        </w:r>
        <w:r w:rsidR="000F75A5">
          <w:rPr>
            <w:webHidden/>
          </w:rPr>
          <w:instrText xml:space="preserve"> PAGEREF _Toc75438410 \h </w:instrText>
        </w:r>
        <w:r w:rsidR="000F75A5">
          <w:rPr>
            <w:webHidden/>
          </w:rPr>
        </w:r>
        <w:r w:rsidR="000F75A5">
          <w:rPr>
            <w:webHidden/>
          </w:rPr>
          <w:fldChar w:fldCharType="separate"/>
        </w:r>
        <w:r w:rsidR="000F75A5">
          <w:rPr>
            <w:webHidden/>
          </w:rPr>
          <w:t>66</w:t>
        </w:r>
        <w:r w:rsidR="000F75A5">
          <w:rPr>
            <w:webHidden/>
          </w:rPr>
          <w:fldChar w:fldCharType="end"/>
        </w:r>
      </w:hyperlink>
    </w:p>
    <w:p w14:paraId="44EC346F" w14:textId="159F8313" w:rsidR="000F75A5" w:rsidRDefault="00B6413C">
      <w:pPr>
        <w:pStyle w:val="TOC1"/>
        <w:rPr>
          <w:rFonts w:asciiTheme="minorHAnsi" w:eastAsiaTheme="minorEastAsia" w:hAnsiTheme="minorHAnsi" w:cstheme="minorBidi"/>
          <w:b w:val="0"/>
          <w:color w:val="auto"/>
          <w:sz w:val="22"/>
          <w:lang w:eastAsia="en-GB"/>
        </w:rPr>
      </w:pPr>
      <w:hyperlink w:anchor="_Toc75438411" w:history="1">
        <w:r w:rsidR="000F75A5" w:rsidRPr="00FE7E91">
          <w:rPr>
            <w:rStyle w:val="Hyperlink"/>
          </w:rPr>
          <w:t>References</w:t>
        </w:r>
        <w:r w:rsidR="000F75A5">
          <w:rPr>
            <w:webHidden/>
          </w:rPr>
          <w:tab/>
        </w:r>
        <w:r w:rsidR="000F75A5">
          <w:rPr>
            <w:webHidden/>
          </w:rPr>
          <w:fldChar w:fldCharType="begin"/>
        </w:r>
        <w:r w:rsidR="000F75A5">
          <w:rPr>
            <w:webHidden/>
          </w:rPr>
          <w:instrText xml:space="preserve"> PAGEREF _Toc75438411 \h </w:instrText>
        </w:r>
        <w:r w:rsidR="000F75A5">
          <w:rPr>
            <w:webHidden/>
          </w:rPr>
        </w:r>
        <w:r w:rsidR="000F75A5">
          <w:rPr>
            <w:webHidden/>
          </w:rPr>
          <w:fldChar w:fldCharType="separate"/>
        </w:r>
        <w:r w:rsidR="000F75A5">
          <w:rPr>
            <w:webHidden/>
          </w:rPr>
          <w:t>67</w:t>
        </w:r>
        <w:r w:rsidR="000F75A5">
          <w:rPr>
            <w:webHidden/>
          </w:rPr>
          <w:fldChar w:fldCharType="end"/>
        </w:r>
      </w:hyperlink>
    </w:p>
    <w:p w14:paraId="019F8096" w14:textId="34A45407" w:rsidR="00A1229F" w:rsidRDefault="00414262" w:rsidP="00400B0F">
      <w:pPr>
        <w:pStyle w:val="Contents"/>
        <w:sectPr w:rsidR="00A1229F" w:rsidSect="00F740F6">
          <w:pgSz w:w="11899" w:h="16838" w:code="9"/>
          <w:pgMar w:top="1134" w:right="1134" w:bottom="1134" w:left="1134" w:header="340" w:footer="340" w:gutter="0"/>
          <w:pgNumType w:fmt="lowerRoman"/>
          <w:cols w:space="708"/>
          <w:docGrid w:linePitch="326"/>
        </w:sectPr>
      </w:pPr>
      <w:r>
        <w:rPr>
          <w:noProof/>
          <w:color w:val="2B579A"/>
          <w:sz w:val="24"/>
          <w:shd w:val="clear" w:color="auto" w:fill="E6E6E6"/>
          <w:lang w:eastAsia="en-US"/>
        </w:rPr>
        <w:fldChar w:fldCharType="end"/>
      </w:r>
    </w:p>
    <w:p w14:paraId="144346CD" w14:textId="3A1CE58F" w:rsidR="008A315E" w:rsidRDefault="008A315E" w:rsidP="00400B0F">
      <w:pPr>
        <w:pStyle w:val="Contents"/>
      </w:pPr>
      <w:r>
        <w:t>Figures</w:t>
      </w:r>
    </w:p>
    <w:p w14:paraId="26E37DD2" w14:textId="54BEDBE8" w:rsidR="00E707BB" w:rsidRDefault="008A315E">
      <w:pPr>
        <w:pStyle w:val="TableofFigures"/>
        <w:tabs>
          <w:tab w:val="right" w:leader="dot" w:pos="9621"/>
        </w:tabs>
        <w:rPr>
          <w:rFonts w:asciiTheme="minorHAnsi" w:eastAsiaTheme="minorEastAsia" w:hAnsiTheme="minorHAnsi" w:cstheme="minorBidi"/>
          <w:noProof/>
          <w:sz w:val="22"/>
          <w:lang w:eastAsia="en-GB"/>
        </w:rPr>
      </w:pPr>
      <w:r w:rsidRPr="005874B7">
        <w:rPr>
          <w:rStyle w:val="Hyperlink"/>
          <w:noProof/>
        </w:rPr>
        <w:fldChar w:fldCharType="begin"/>
      </w:r>
      <w:r w:rsidRPr="005874B7">
        <w:rPr>
          <w:rStyle w:val="Hyperlink"/>
          <w:noProof/>
        </w:rPr>
        <w:instrText xml:space="preserve"> TOC \h \z \c "Figure A" </w:instrText>
      </w:r>
      <w:r w:rsidRPr="005874B7">
        <w:rPr>
          <w:rStyle w:val="Hyperlink"/>
          <w:noProof/>
        </w:rPr>
        <w:fldChar w:fldCharType="separate"/>
      </w:r>
      <w:hyperlink w:anchor="_Toc74755615" w:history="1">
        <w:r w:rsidR="00E707BB" w:rsidRPr="00763F40">
          <w:rPr>
            <w:rStyle w:val="Hyperlink"/>
            <w:noProof/>
          </w:rPr>
          <w:t>Figure 1</w:t>
        </w:r>
        <w:r w:rsidR="00E707BB" w:rsidRPr="00763F40">
          <w:rPr>
            <w:rStyle w:val="Hyperlink"/>
            <w:noProof/>
            <w:shd w:val="clear" w:color="auto" w:fill="E6E6E6"/>
          </w:rPr>
          <w:t>.1</w:t>
        </w:r>
        <w:r w:rsidR="00E707BB" w:rsidRPr="00763F40">
          <w:rPr>
            <w:rStyle w:val="Hyperlink"/>
            <w:noProof/>
          </w:rPr>
          <w:t xml:space="preserve"> – Trends in Annual Mean NO</w:t>
        </w:r>
        <w:r w:rsidR="00E707BB" w:rsidRPr="00763F40">
          <w:rPr>
            <w:rStyle w:val="Hyperlink"/>
            <w:noProof/>
            <w:vertAlign w:val="subscript"/>
          </w:rPr>
          <w:t>2</w:t>
        </w:r>
        <w:r w:rsidR="00E707BB" w:rsidRPr="00763F40">
          <w:rPr>
            <w:rStyle w:val="Hyperlink"/>
            <w:noProof/>
          </w:rPr>
          <w:t xml:space="preserve"> Concentrations – Lindisfarn</w:t>
        </w:r>
        <w:r w:rsidR="008C2DBB">
          <w:rPr>
            <w:rStyle w:val="Hyperlink"/>
            <w:noProof/>
          </w:rPr>
          <w:t>e</w:t>
        </w:r>
        <w:r w:rsidR="00E707BB" w:rsidRPr="00763F40">
          <w:rPr>
            <w:rStyle w:val="Hyperlink"/>
            <w:noProof/>
          </w:rPr>
          <w:t xml:space="preserve"> AQMA</w:t>
        </w:r>
        <w:r w:rsidR="00E707BB">
          <w:rPr>
            <w:noProof/>
            <w:webHidden/>
          </w:rPr>
          <w:tab/>
        </w:r>
        <w:r w:rsidR="00E707BB">
          <w:rPr>
            <w:noProof/>
            <w:webHidden/>
          </w:rPr>
          <w:fldChar w:fldCharType="begin"/>
        </w:r>
        <w:r w:rsidR="00E707BB">
          <w:rPr>
            <w:noProof/>
            <w:webHidden/>
          </w:rPr>
          <w:instrText xml:space="preserve"> PAGEREF _Toc74755615 \h </w:instrText>
        </w:r>
        <w:r w:rsidR="00E707BB">
          <w:rPr>
            <w:noProof/>
            <w:webHidden/>
          </w:rPr>
        </w:r>
        <w:r w:rsidR="00E707BB">
          <w:rPr>
            <w:noProof/>
            <w:webHidden/>
          </w:rPr>
          <w:fldChar w:fldCharType="separate"/>
        </w:r>
        <w:r w:rsidR="00E707BB">
          <w:rPr>
            <w:noProof/>
            <w:webHidden/>
          </w:rPr>
          <w:t>30</w:t>
        </w:r>
        <w:r w:rsidR="00E707BB">
          <w:rPr>
            <w:noProof/>
            <w:webHidden/>
          </w:rPr>
          <w:fldChar w:fldCharType="end"/>
        </w:r>
      </w:hyperlink>
    </w:p>
    <w:p w14:paraId="005EA6D4" w14:textId="46D42D70" w:rsidR="00E707BB" w:rsidRDefault="00B6413C">
      <w:pPr>
        <w:pStyle w:val="TableofFigures"/>
        <w:tabs>
          <w:tab w:val="right" w:leader="dot" w:pos="9621"/>
        </w:tabs>
        <w:rPr>
          <w:rFonts w:asciiTheme="minorHAnsi" w:eastAsiaTheme="minorEastAsia" w:hAnsiTheme="minorHAnsi" w:cstheme="minorBidi"/>
          <w:noProof/>
          <w:sz w:val="22"/>
          <w:lang w:eastAsia="en-GB"/>
        </w:rPr>
      </w:pPr>
      <w:hyperlink w:anchor="_Toc74755616" w:history="1">
        <w:r w:rsidR="00E707BB" w:rsidRPr="00763F40">
          <w:rPr>
            <w:rStyle w:val="Hyperlink"/>
            <w:noProof/>
          </w:rPr>
          <w:t>Figure 1</w:t>
        </w:r>
        <w:r w:rsidR="00E707BB" w:rsidRPr="00763F40">
          <w:rPr>
            <w:rStyle w:val="Hyperlink"/>
            <w:noProof/>
            <w:shd w:val="clear" w:color="auto" w:fill="E6E6E6"/>
          </w:rPr>
          <w:t>.2</w:t>
        </w:r>
        <w:r w:rsidR="00E707BB" w:rsidRPr="00763F40">
          <w:rPr>
            <w:rStyle w:val="Hyperlink"/>
            <w:noProof/>
          </w:rPr>
          <w:t xml:space="preserve"> – Trends in Annual Mean NO</w:t>
        </w:r>
        <w:r w:rsidR="00E707BB" w:rsidRPr="00763F40">
          <w:rPr>
            <w:rStyle w:val="Hyperlink"/>
            <w:noProof/>
            <w:vertAlign w:val="subscript"/>
          </w:rPr>
          <w:t>2</w:t>
        </w:r>
        <w:r w:rsidR="00E707BB" w:rsidRPr="00763F40">
          <w:rPr>
            <w:rStyle w:val="Hyperlink"/>
            <w:noProof/>
          </w:rPr>
          <w:t xml:space="preserve"> Concentrations – Boldon Lane AQMA</w:t>
        </w:r>
        <w:r w:rsidR="00E707BB">
          <w:rPr>
            <w:noProof/>
            <w:webHidden/>
          </w:rPr>
          <w:tab/>
        </w:r>
        <w:r w:rsidR="00E707BB">
          <w:rPr>
            <w:noProof/>
            <w:webHidden/>
          </w:rPr>
          <w:fldChar w:fldCharType="begin"/>
        </w:r>
        <w:r w:rsidR="00E707BB">
          <w:rPr>
            <w:noProof/>
            <w:webHidden/>
          </w:rPr>
          <w:instrText xml:space="preserve"> PAGEREF _Toc74755616 \h </w:instrText>
        </w:r>
        <w:r w:rsidR="00E707BB">
          <w:rPr>
            <w:noProof/>
            <w:webHidden/>
          </w:rPr>
        </w:r>
        <w:r w:rsidR="00E707BB">
          <w:rPr>
            <w:noProof/>
            <w:webHidden/>
          </w:rPr>
          <w:fldChar w:fldCharType="separate"/>
        </w:r>
        <w:r w:rsidR="00E707BB">
          <w:rPr>
            <w:noProof/>
            <w:webHidden/>
          </w:rPr>
          <w:t>31</w:t>
        </w:r>
        <w:r w:rsidR="00E707BB">
          <w:rPr>
            <w:noProof/>
            <w:webHidden/>
          </w:rPr>
          <w:fldChar w:fldCharType="end"/>
        </w:r>
      </w:hyperlink>
    </w:p>
    <w:p w14:paraId="4A32B5B5" w14:textId="0E8F0D20" w:rsidR="00E707BB" w:rsidRDefault="00B6413C">
      <w:pPr>
        <w:pStyle w:val="TableofFigures"/>
        <w:tabs>
          <w:tab w:val="right" w:leader="dot" w:pos="9621"/>
        </w:tabs>
        <w:rPr>
          <w:rFonts w:asciiTheme="minorHAnsi" w:eastAsiaTheme="minorEastAsia" w:hAnsiTheme="minorHAnsi" w:cstheme="minorBidi"/>
          <w:noProof/>
          <w:sz w:val="22"/>
          <w:lang w:eastAsia="en-GB"/>
        </w:rPr>
      </w:pPr>
      <w:hyperlink w:anchor="_Toc74755617" w:history="1">
        <w:r w:rsidR="00E707BB" w:rsidRPr="00763F40">
          <w:rPr>
            <w:rStyle w:val="Hyperlink"/>
            <w:noProof/>
          </w:rPr>
          <w:t>Figure 1</w:t>
        </w:r>
        <w:r w:rsidR="00E707BB" w:rsidRPr="00763F40">
          <w:rPr>
            <w:rStyle w:val="Hyperlink"/>
            <w:noProof/>
            <w:shd w:val="clear" w:color="auto" w:fill="E6E6E6"/>
          </w:rPr>
          <w:t>.3</w:t>
        </w:r>
        <w:r w:rsidR="00E707BB" w:rsidRPr="00763F40">
          <w:rPr>
            <w:rStyle w:val="Hyperlink"/>
            <w:noProof/>
          </w:rPr>
          <w:t xml:space="preserve"> – Trends in Annual Mean NO</w:t>
        </w:r>
        <w:r w:rsidR="00E707BB" w:rsidRPr="00763F40">
          <w:rPr>
            <w:rStyle w:val="Hyperlink"/>
            <w:noProof/>
            <w:vertAlign w:val="subscript"/>
          </w:rPr>
          <w:t>2</w:t>
        </w:r>
        <w:r w:rsidR="00E707BB" w:rsidRPr="00763F40">
          <w:rPr>
            <w:rStyle w:val="Hyperlink"/>
            <w:noProof/>
          </w:rPr>
          <w:t xml:space="preserve"> Concentrations – Whitburn Cleadon </w:t>
        </w:r>
        <w:r w:rsidR="008C2DBB">
          <w:rPr>
            <w:rStyle w:val="Hyperlink"/>
            <w:noProof/>
          </w:rPr>
          <w:t>&amp;</w:t>
        </w:r>
        <w:r w:rsidR="00E707BB" w:rsidRPr="00763F40">
          <w:rPr>
            <w:rStyle w:val="Hyperlink"/>
            <w:noProof/>
          </w:rPr>
          <w:t>Boldons</w:t>
        </w:r>
        <w:r w:rsidR="00E707BB">
          <w:rPr>
            <w:noProof/>
            <w:webHidden/>
          </w:rPr>
          <w:tab/>
        </w:r>
        <w:r w:rsidR="00E707BB">
          <w:rPr>
            <w:noProof/>
            <w:webHidden/>
          </w:rPr>
          <w:fldChar w:fldCharType="begin"/>
        </w:r>
        <w:r w:rsidR="00E707BB">
          <w:rPr>
            <w:noProof/>
            <w:webHidden/>
          </w:rPr>
          <w:instrText xml:space="preserve"> PAGEREF _Toc74755617 \h </w:instrText>
        </w:r>
        <w:r w:rsidR="00E707BB">
          <w:rPr>
            <w:noProof/>
            <w:webHidden/>
          </w:rPr>
        </w:r>
        <w:r w:rsidR="00E707BB">
          <w:rPr>
            <w:noProof/>
            <w:webHidden/>
          </w:rPr>
          <w:fldChar w:fldCharType="separate"/>
        </w:r>
        <w:r w:rsidR="00E707BB">
          <w:rPr>
            <w:noProof/>
            <w:webHidden/>
          </w:rPr>
          <w:t>32</w:t>
        </w:r>
        <w:r w:rsidR="00E707BB">
          <w:rPr>
            <w:noProof/>
            <w:webHidden/>
          </w:rPr>
          <w:fldChar w:fldCharType="end"/>
        </w:r>
      </w:hyperlink>
    </w:p>
    <w:p w14:paraId="1671BE6B" w14:textId="66D5BDD8" w:rsidR="00E707BB" w:rsidRDefault="00B6413C">
      <w:pPr>
        <w:pStyle w:val="TableofFigures"/>
        <w:tabs>
          <w:tab w:val="right" w:leader="dot" w:pos="9621"/>
        </w:tabs>
        <w:rPr>
          <w:rFonts w:asciiTheme="minorHAnsi" w:eastAsiaTheme="minorEastAsia" w:hAnsiTheme="minorHAnsi" w:cstheme="minorBidi"/>
          <w:noProof/>
          <w:sz w:val="22"/>
          <w:lang w:eastAsia="en-GB"/>
        </w:rPr>
      </w:pPr>
      <w:hyperlink w:anchor="_Toc74755618" w:history="1">
        <w:r w:rsidR="00E707BB" w:rsidRPr="00763F40">
          <w:rPr>
            <w:rStyle w:val="Hyperlink"/>
            <w:noProof/>
          </w:rPr>
          <w:t>Figure 1</w:t>
        </w:r>
        <w:r w:rsidR="00E707BB" w:rsidRPr="00763F40">
          <w:rPr>
            <w:rStyle w:val="Hyperlink"/>
            <w:noProof/>
            <w:shd w:val="clear" w:color="auto" w:fill="E6E6E6"/>
          </w:rPr>
          <w:t>.4</w:t>
        </w:r>
        <w:r w:rsidR="00E707BB" w:rsidRPr="00763F40">
          <w:rPr>
            <w:rStyle w:val="Hyperlink"/>
            <w:noProof/>
          </w:rPr>
          <w:t xml:space="preserve"> – Trends in Annual Mean NO</w:t>
        </w:r>
        <w:r w:rsidR="00E707BB" w:rsidRPr="00763F40">
          <w:rPr>
            <w:rStyle w:val="Hyperlink"/>
            <w:noProof/>
            <w:vertAlign w:val="subscript"/>
          </w:rPr>
          <w:t>2</w:t>
        </w:r>
        <w:r w:rsidR="00E707BB" w:rsidRPr="00763F40">
          <w:rPr>
            <w:rStyle w:val="Hyperlink"/>
            <w:noProof/>
          </w:rPr>
          <w:t xml:space="preserve"> Concentrations – Fellgate (for A19)</w:t>
        </w:r>
        <w:r w:rsidR="00E707BB">
          <w:rPr>
            <w:noProof/>
            <w:webHidden/>
          </w:rPr>
          <w:tab/>
        </w:r>
        <w:r w:rsidR="00E707BB">
          <w:rPr>
            <w:noProof/>
            <w:webHidden/>
          </w:rPr>
          <w:fldChar w:fldCharType="begin"/>
        </w:r>
        <w:r w:rsidR="00E707BB">
          <w:rPr>
            <w:noProof/>
            <w:webHidden/>
          </w:rPr>
          <w:instrText xml:space="preserve"> PAGEREF _Toc74755618 \h </w:instrText>
        </w:r>
        <w:r w:rsidR="00E707BB">
          <w:rPr>
            <w:noProof/>
            <w:webHidden/>
          </w:rPr>
        </w:r>
        <w:r w:rsidR="00E707BB">
          <w:rPr>
            <w:noProof/>
            <w:webHidden/>
          </w:rPr>
          <w:fldChar w:fldCharType="separate"/>
        </w:r>
        <w:r w:rsidR="00E707BB">
          <w:rPr>
            <w:noProof/>
            <w:webHidden/>
          </w:rPr>
          <w:t>33</w:t>
        </w:r>
        <w:r w:rsidR="00E707BB">
          <w:rPr>
            <w:noProof/>
            <w:webHidden/>
          </w:rPr>
          <w:fldChar w:fldCharType="end"/>
        </w:r>
      </w:hyperlink>
    </w:p>
    <w:p w14:paraId="24A2D2AF" w14:textId="048F73E0" w:rsidR="00E707BB" w:rsidRDefault="00B6413C">
      <w:pPr>
        <w:pStyle w:val="TableofFigures"/>
        <w:tabs>
          <w:tab w:val="right" w:leader="dot" w:pos="9621"/>
        </w:tabs>
        <w:rPr>
          <w:rFonts w:asciiTheme="minorHAnsi" w:eastAsiaTheme="minorEastAsia" w:hAnsiTheme="minorHAnsi" w:cstheme="minorBidi"/>
          <w:noProof/>
          <w:sz w:val="22"/>
          <w:lang w:eastAsia="en-GB"/>
        </w:rPr>
      </w:pPr>
      <w:hyperlink w:anchor="_Toc74755619" w:history="1">
        <w:r w:rsidR="00E707BB" w:rsidRPr="00763F40">
          <w:rPr>
            <w:rStyle w:val="Hyperlink"/>
            <w:noProof/>
          </w:rPr>
          <w:t>Figure 1</w:t>
        </w:r>
        <w:r w:rsidR="00E707BB" w:rsidRPr="00763F40">
          <w:rPr>
            <w:rStyle w:val="Hyperlink"/>
            <w:noProof/>
            <w:shd w:val="clear" w:color="auto" w:fill="E6E6E6"/>
          </w:rPr>
          <w:t>.5</w:t>
        </w:r>
        <w:r w:rsidR="00E707BB" w:rsidRPr="00763F40">
          <w:rPr>
            <w:rStyle w:val="Hyperlink"/>
            <w:noProof/>
          </w:rPr>
          <w:t xml:space="preserve"> – Trends in Annual Mean NO</w:t>
        </w:r>
        <w:r w:rsidR="00E707BB" w:rsidRPr="00763F40">
          <w:rPr>
            <w:rStyle w:val="Hyperlink"/>
            <w:noProof/>
            <w:vertAlign w:val="subscript"/>
          </w:rPr>
          <w:t>2</w:t>
        </w:r>
        <w:r w:rsidR="00E707BB" w:rsidRPr="00763F40">
          <w:rPr>
            <w:rStyle w:val="Hyperlink"/>
            <w:noProof/>
          </w:rPr>
          <w:t xml:space="preserve"> Concentrations – Hebburn and Jarrow</w:t>
        </w:r>
        <w:r w:rsidR="00E707BB">
          <w:rPr>
            <w:noProof/>
            <w:webHidden/>
          </w:rPr>
          <w:tab/>
        </w:r>
        <w:r w:rsidR="00E707BB">
          <w:rPr>
            <w:noProof/>
            <w:webHidden/>
          </w:rPr>
          <w:fldChar w:fldCharType="begin"/>
        </w:r>
        <w:r w:rsidR="00E707BB">
          <w:rPr>
            <w:noProof/>
            <w:webHidden/>
          </w:rPr>
          <w:instrText xml:space="preserve"> PAGEREF _Toc74755619 \h </w:instrText>
        </w:r>
        <w:r w:rsidR="00E707BB">
          <w:rPr>
            <w:noProof/>
            <w:webHidden/>
          </w:rPr>
        </w:r>
        <w:r w:rsidR="00E707BB">
          <w:rPr>
            <w:noProof/>
            <w:webHidden/>
          </w:rPr>
          <w:fldChar w:fldCharType="separate"/>
        </w:r>
        <w:r w:rsidR="00E707BB">
          <w:rPr>
            <w:noProof/>
            <w:webHidden/>
          </w:rPr>
          <w:t>34</w:t>
        </w:r>
        <w:r w:rsidR="00E707BB">
          <w:rPr>
            <w:noProof/>
            <w:webHidden/>
          </w:rPr>
          <w:fldChar w:fldCharType="end"/>
        </w:r>
      </w:hyperlink>
    </w:p>
    <w:p w14:paraId="157945D0" w14:textId="054B84D0" w:rsidR="00E707BB" w:rsidRDefault="00B6413C">
      <w:pPr>
        <w:pStyle w:val="TableofFigures"/>
        <w:tabs>
          <w:tab w:val="right" w:leader="dot" w:pos="9621"/>
        </w:tabs>
        <w:rPr>
          <w:rFonts w:asciiTheme="minorHAnsi" w:eastAsiaTheme="minorEastAsia" w:hAnsiTheme="minorHAnsi" w:cstheme="minorBidi"/>
          <w:noProof/>
          <w:sz w:val="22"/>
          <w:lang w:eastAsia="en-GB"/>
        </w:rPr>
      </w:pPr>
      <w:hyperlink w:anchor="_Toc74755620" w:history="1">
        <w:r w:rsidR="00E707BB" w:rsidRPr="00763F40">
          <w:rPr>
            <w:rStyle w:val="Hyperlink"/>
            <w:noProof/>
          </w:rPr>
          <w:t>Figure 1</w:t>
        </w:r>
        <w:r w:rsidR="00E707BB" w:rsidRPr="00763F40">
          <w:rPr>
            <w:rStyle w:val="Hyperlink"/>
            <w:noProof/>
            <w:shd w:val="clear" w:color="auto" w:fill="E6E6E6"/>
          </w:rPr>
          <w:t>.6</w:t>
        </w:r>
        <w:r w:rsidR="00E707BB" w:rsidRPr="00763F40">
          <w:rPr>
            <w:rStyle w:val="Hyperlink"/>
            <w:noProof/>
          </w:rPr>
          <w:t xml:space="preserve"> – Trends in Annual Mean NO</w:t>
        </w:r>
        <w:r w:rsidR="00E707BB" w:rsidRPr="00763F40">
          <w:rPr>
            <w:rStyle w:val="Hyperlink"/>
            <w:noProof/>
            <w:vertAlign w:val="subscript"/>
          </w:rPr>
          <w:t>2</w:t>
        </w:r>
        <w:r w:rsidR="00E707BB" w:rsidRPr="00763F40">
          <w:rPr>
            <w:rStyle w:val="Hyperlink"/>
            <w:noProof/>
          </w:rPr>
          <w:t xml:space="preserve"> Concentrations – Tyne Dock</w:t>
        </w:r>
        <w:r w:rsidR="00E707BB">
          <w:rPr>
            <w:noProof/>
            <w:webHidden/>
          </w:rPr>
          <w:tab/>
        </w:r>
        <w:r w:rsidR="00E707BB">
          <w:rPr>
            <w:noProof/>
            <w:webHidden/>
          </w:rPr>
          <w:fldChar w:fldCharType="begin"/>
        </w:r>
        <w:r w:rsidR="00E707BB">
          <w:rPr>
            <w:noProof/>
            <w:webHidden/>
          </w:rPr>
          <w:instrText xml:space="preserve"> PAGEREF _Toc74755620 \h </w:instrText>
        </w:r>
        <w:r w:rsidR="00E707BB">
          <w:rPr>
            <w:noProof/>
            <w:webHidden/>
          </w:rPr>
        </w:r>
        <w:r w:rsidR="00E707BB">
          <w:rPr>
            <w:noProof/>
            <w:webHidden/>
          </w:rPr>
          <w:fldChar w:fldCharType="separate"/>
        </w:r>
        <w:r w:rsidR="00E707BB">
          <w:rPr>
            <w:noProof/>
            <w:webHidden/>
          </w:rPr>
          <w:t>35</w:t>
        </w:r>
        <w:r w:rsidR="00E707BB">
          <w:rPr>
            <w:noProof/>
            <w:webHidden/>
          </w:rPr>
          <w:fldChar w:fldCharType="end"/>
        </w:r>
      </w:hyperlink>
    </w:p>
    <w:p w14:paraId="687805EA" w14:textId="5A8935AD" w:rsidR="00E707BB" w:rsidRDefault="00B6413C">
      <w:pPr>
        <w:pStyle w:val="TableofFigures"/>
        <w:tabs>
          <w:tab w:val="right" w:leader="dot" w:pos="9621"/>
        </w:tabs>
        <w:rPr>
          <w:rFonts w:asciiTheme="minorHAnsi" w:eastAsiaTheme="minorEastAsia" w:hAnsiTheme="minorHAnsi" w:cstheme="minorBidi"/>
          <w:noProof/>
          <w:sz w:val="22"/>
          <w:lang w:eastAsia="en-GB"/>
        </w:rPr>
      </w:pPr>
      <w:hyperlink w:anchor="_Toc74755621" w:history="1">
        <w:r w:rsidR="00E707BB" w:rsidRPr="00763F40">
          <w:rPr>
            <w:rStyle w:val="Hyperlink"/>
            <w:noProof/>
          </w:rPr>
          <w:t>Figure 1</w:t>
        </w:r>
        <w:r w:rsidR="00E707BB" w:rsidRPr="00763F40">
          <w:rPr>
            <w:rStyle w:val="Hyperlink"/>
            <w:noProof/>
            <w:shd w:val="clear" w:color="auto" w:fill="E6E6E6"/>
          </w:rPr>
          <w:t>.7</w:t>
        </w:r>
        <w:r w:rsidR="00E707BB" w:rsidRPr="00763F40">
          <w:rPr>
            <w:rStyle w:val="Hyperlink"/>
            <w:noProof/>
          </w:rPr>
          <w:t xml:space="preserve"> – Trends in Annual Mean NO</w:t>
        </w:r>
        <w:r w:rsidR="00E707BB" w:rsidRPr="00763F40">
          <w:rPr>
            <w:rStyle w:val="Hyperlink"/>
            <w:noProof/>
            <w:vertAlign w:val="subscript"/>
          </w:rPr>
          <w:t>2</w:t>
        </w:r>
        <w:r w:rsidR="00E707BB" w:rsidRPr="00763F40">
          <w:rPr>
            <w:rStyle w:val="Hyperlink"/>
            <w:noProof/>
          </w:rPr>
          <w:t xml:space="preserve"> Concentrations – Westoe</w:t>
        </w:r>
        <w:r w:rsidR="00E707BB">
          <w:rPr>
            <w:noProof/>
            <w:webHidden/>
          </w:rPr>
          <w:tab/>
        </w:r>
        <w:r w:rsidR="00E707BB">
          <w:rPr>
            <w:noProof/>
            <w:webHidden/>
          </w:rPr>
          <w:fldChar w:fldCharType="begin"/>
        </w:r>
        <w:r w:rsidR="00E707BB">
          <w:rPr>
            <w:noProof/>
            <w:webHidden/>
          </w:rPr>
          <w:instrText xml:space="preserve"> PAGEREF _Toc74755621 \h </w:instrText>
        </w:r>
        <w:r w:rsidR="00E707BB">
          <w:rPr>
            <w:noProof/>
            <w:webHidden/>
          </w:rPr>
        </w:r>
        <w:r w:rsidR="00E707BB">
          <w:rPr>
            <w:noProof/>
            <w:webHidden/>
          </w:rPr>
          <w:fldChar w:fldCharType="separate"/>
        </w:r>
        <w:r w:rsidR="00E707BB">
          <w:rPr>
            <w:noProof/>
            <w:webHidden/>
          </w:rPr>
          <w:t>36</w:t>
        </w:r>
        <w:r w:rsidR="00E707BB">
          <w:rPr>
            <w:noProof/>
            <w:webHidden/>
          </w:rPr>
          <w:fldChar w:fldCharType="end"/>
        </w:r>
      </w:hyperlink>
    </w:p>
    <w:p w14:paraId="5F87DB8A" w14:textId="4366AFE7" w:rsidR="00E707BB" w:rsidRDefault="00B6413C">
      <w:pPr>
        <w:pStyle w:val="TableofFigures"/>
        <w:tabs>
          <w:tab w:val="right" w:leader="dot" w:pos="9621"/>
        </w:tabs>
        <w:rPr>
          <w:rFonts w:asciiTheme="minorHAnsi" w:eastAsiaTheme="minorEastAsia" w:hAnsiTheme="minorHAnsi" w:cstheme="minorBidi"/>
          <w:noProof/>
          <w:sz w:val="22"/>
          <w:lang w:eastAsia="en-GB"/>
        </w:rPr>
      </w:pPr>
      <w:hyperlink w:anchor="_Toc74755622" w:history="1">
        <w:r w:rsidR="00E707BB" w:rsidRPr="00763F40">
          <w:rPr>
            <w:rStyle w:val="Hyperlink"/>
            <w:noProof/>
          </w:rPr>
          <w:t>Figure 1</w:t>
        </w:r>
        <w:r w:rsidR="00E707BB" w:rsidRPr="00763F40">
          <w:rPr>
            <w:rStyle w:val="Hyperlink"/>
            <w:noProof/>
            <w:shd w:val="clear" w:color="auto" w:fill="E6E6E6"/>
          </w:rPr>
          <w:t>.8</w:t>
        </w:r>
        <w:r w:rsidR="00E707BB" w:rsidRPr="00763F40">
          <w:rPr>
            <w:rStyle w:val="Hyperlink"/>
            <w:noProof/>
          </w:rPr>
          <w:t xml:space="preserve"> – Trends in Annual Mean NO</w:t>
        </w:r>
        <w:r w:rsidR="00E707BB" w:rsidRPr="00763F40">
          <w:rPr>
            <w:rStyle w:val="Hyperlink"/>
            <w:noProof/>
            <w:vertAlign w:val="subscript"/>
          </w:rPr>
          <w:t>2</w:t>
        </w:r>
        <w:r w:rsidR="00E707BB" w:rsidRPr="00763F40">
          <w:rPr>
            <w:rStyle w:val="Hyperlink"/>
            <w:noProof/>
          </w:rPr>
          <w:t xml:space="preserve"> Concentrations – South Shields</w:t>
        </w:r>
        <w:r w:rsidR="00E707BB">
          <w:rPr>
            <w:noProof/>
            <w:webHidden/>
          </w:rPr>
          <w:tab/>
        </w:r>
        <w:r w:rsidR="00E707BB">
          <w:rPr>
            <w:noProof/>
            <w:webHidden/>
          </w:rPr>
          <w:fldChar w:fldCharType="begin"/>
        </w:r>
        <w:r w:rsidR="00E707BB">
          <w:rPr>
            <w:noProof/>
            <w:webHidden/>
          </w:rPr>
          <w:instrText xml:space="preserve"> PAGEREF _Toc74755622 \h </w:instrText>
        </w:r>
        <w:r w:rsidR="00E707BB">
          <w:rPr>
            <w:noProof/>
            <w:webHidden/>
          </w:rPr>
        </w:r>
        <w:r w:rsidR="00E707BB">
          <w:rPr>
            <w:noProof/>
            <w:webHidden/>
          </w:rPr>
          <w:fldChar w:fldCharType="separate"/>
        </w:r>
        <w:r w:rsidR="00E707BB">
          <w:rPr>
            <w:noProof/>
            <w:webHidden/>
          </w:rPr>
          <w:t>37</w:t>
        </w:r>
        <w:r w:rsidR="00E707BB">
          <w:rPr>
            <w:noProof/>
            <w:webHidden/>
          </w:rPr>
          <w:fldChar w:fldCharType="end"/>
        </w:r>
      </w:hyperlink>
    </w:p>
    <w:p w14:paraId="79FE2ECC" w14:textId="42CA9F38" w:rsidR="00E707BB" w:rsidRDefault="00B6413C">
      <w:pPr>
        <w:pStyle w:val="TableofFigures"/>
        <w:tabs>
          <w:tab w:val="right" w:leader="dot" w:pos="9621"/>
        </w:tabs>
        <w:rPr>
          <w:rFonts w:asciiTheme="minorHAnsi" w:eastAsiaTheme="minorEastAsia" w:hAnsiTheme="minorHAnsi" w:cstheme="minorBidi"/>
          <w:noProof/>
          <w:sz w:val="22"/>
          <w:lang w:eastAsia="en-GB"/>
        </w:rPr>
      </w:pPr>
      <w:hyperlink w:anchor="_Toc74755623" w:history="1">
        <w:r w:rsidR="00E707BB" w:rsidRPr="00763F40">
          <w:rPr>
            <w:rStyle w:val="Hyperlink"/>
            <w:noProof/>
          </w:rPr>
          <w:t>Figure A.2 – Trends in Annual Mean PM</w:t>
        </w:r>
        <w:r w:rsidR="00E707BB" w:rsidRPr="00763F40">
          <w:rPr>
            <w:rStyle w:val="Hyperlink"/>
            <w:noProof/>
            <w:vertAlign w:val="subscript"/>
          </w:rPr>
          <w:t>10</w:t>
        </w:r>
        <w:r w:rsidR="00E707BB" w:rsidRPr="00763F40">
          <w:rPr>
            <w:rStyle w:val="Hyperlink"/>
            <w:noProof/>
          </w:rPr>
          <w:t xml:space="preserve"> Concentrations</w:t>
        </w:r>
        <w:r w:rsidR="00E707BB">
          <w:rPr>
            <w:noProof/>
            <w:webHidden/>
          </w:rPr>
          <w:tab/>
        </w:r>
        <w:r w:rsidR="00E707BB">
          <w:rPr>
            <w:noProof/>
            <w:webHidden/>
          </w:rPr>
          <w:fldChar w:fldCharType="begin"/>
        </w:r>
        <w:r w:rsidR="00E707BB">
          <w:rPr>
            <w:noProof/>
            <w:webHidden/>
          </w:rPr>
          <w:instrText xml:space="preserve"> PAGEREF _Toc74755623 \h </w:instrText>
        </w:r>
        <w:r w:rsidR="00E707BB">
          <w:rPr>
            <w:noProof/>
            <w:webHidden/>
          </w:rPr>
        </w:r>
        <w:r w:rsidR="00E707BB">
          <w:rPr>
            <w:noProof/>
            <w:webHidden/>
          </w:rPr>
          <w:fldChar w:fldCharType="separate"/>
        </w:r>
        <w:r w:rsidR="00E707BB">
          <w:rPr>
            <w:noProof/>
            <w:webHidden/>
          </w:rPr>
          <w:t>40</w:t>
        </w:r>
        <w:r w:rsidR="00E707BB">
          <w:rPr>
            <w:noProof/>
            <w:webHidden/>
          </w:rPr>
          <w:fldChar w:fldCharType="end"/>
        </w:r>
      </w:hyperlink>
    </w:p>
    <w:p w14:paraId="27563701" w14:textId="27421BD2" w:rsidR="00E707BB" w:rsidRDefault="00B6413C">
      <w:pPr>
        <w:pStyle w:val="TableofFigures"/>
        <w:tabs>
          <w:tab w:val="right" w:leader="dot" w:pos="9621"/>
        </w:tabs>
        <w:rPr>
          <w:rFonts w:asciiTheme="minorHAnsi" w:eastAsiaTheme="minorEastAsia" w:hAnsiTheme="minorHAnsi" w:cstheme="minorBidi"/>
          <w:noProof/>
          <w:sz w:val="22"/>
          <w:lang w:eastAsia="en-GB"/>
        </w:rPr>
      </w:pPr>
      <w:hyperlink w:anchor="_Toc74755624" w:history="1">
        <w:r w:rsidR="00E707BB" w:rsidRPr="00763F40">
          <w:rPr>
            <w:rStyle w:val="Hyperlink"/>
            <w:noProof/>
          </w:rPr>
          <w:t>Figure A.3 – Trends in Annual Mean PM</w:t>
        </w:r>
        <w:r w:rsidR="00E707BB" w:rsidRPr="00763F40">
          <w:rPr>
            <w:rStyle w:val="Hyperlink"/>
            <w:noProof/>
            <w:vertAlign w:val="subscript"/>
          </w:rPr>
          <w:t xml:space="preserve">2.5 </w:t>
        </w:r>
        <w:r w:rsidR="00E707BB" w:rsidRPr="00763F40">
          <w:rPr>
            <w:rStyle w:val="Hyperlink"/>
            <w:noProof/>
          </w:rPr>
          <w:t>Concentrations</w:t>
        </w:r>
        <w:r w:rsidR="00E707BB">
          <w:rPr>
            <w:noProof/>
            <w:webHidden/>
          </w:rPr>
          <w:tab/>
        </w:r>
        <w:r w:rsidR="00E707BB">
          <w:rPr>
            <w:noProof/>
            <w:webHidden/>
          </w:rPr>
          <w:fldChar w:fldCharType="begin"/>
        </w:r>
        <w:r w:rsidR="00E707BB">
          <w:rPr>
            <w:noProof/>
            <w:webHidden/>
          </w:rPr>
          <w:instrText xml:space="preserve"> PAGEREF _Toc74755624 \h </w:instrText>
        </w:r>
        <w:r w:rsidR="00E707BB">
          <w:rPr>
            <w:noProof/>
            <w:webHidden/>
          </w:rPr>
        </w:r>
        <w:r w:rsidR="00E707BB">
          <w:rPr>
            <w:noProof/>
            <w:webHidden/>
          </w:rPr>
          <w:fldChar w:fldCharType="separate"/>
        </w:r>
        <w:r w:rsidR="00E707BB">
          <w:rPr>
            <w:noProof/>
            <w:webHidden/>
          </w:rPr>
          <w:t>43</w:t>
        </w:r>
        <w:r w:rsidR="00E707BB">
          <w:rPr>
            <w:noProof/>
            <w:webHidden/>
          </w:rPr>
          <w:fldChar w:fldCharType="end"/>
        </w:r>
      </w:hyperlink>
    </w:p>
    <w:p w14:paraId="259983AF" w14:textId="3188F49C" w:rsidR="00D80A0C" w:rsidRDefault="008A315E">
      <w:pPr>
        <w:pStyle w:val="TableofFigures"/>
        <w:tabs>
          <w:tab w:val="right" w:leader="dot" w:pos="9621"/>
        </w:tabs>
        <w:rPr>
          <w:rFonts w:asciiTheme="minorHAnsi" w:eastAsiaTheme="minorEastAsia" w:hAnsiTheme="minorHAnsi" w:cstheme="minorBidi"/>
          <w:noProof/>
          <w:sz w:val="22"/>
          <w:lang w:eastAsia="en-GB"/>
        </w:rPr>
      </w:pPr>
      <w:r w:rsidRPr="005874B7">
        <w:rPr>
          <w:rStyle w:val="Hyperlink"/>
          <w:noProof/>
        </w:rPr>
        <w:fldChar w:fldCharType="end"/>
      </w:r>
      <w:r w:rsidR="00647227">
        <w:rPr>
          <w:rStyle w:val="Hyperlink"/>
          <w:noProof/>
        </w:rPr>
        <w:fldChar w:fldCharType="begin"/>
      </w:r>
      <w:r w:rsidR="00647227">
        <w:rPr>
          <w:rStyle w:val="Hyperlink"/>
          <w:noProof/>
        </w:rPr>
        <w:instrText xml:space="preserve"> TOC \h \z \c "Figure D" </w:instrText>
      </w:r>
      <w:r w:rsidR="00647227">
        <w:rPr>
          <w:rStyle w:val="Hyperlink"/>
          <w:noProof/>
        </w:rPr>
        <w:fldChar w:fldCharType="separate"/>
      </w:r>
      <w:hyperlink w:anchor="_Toc67997493" w:history="1">
        <w:r w:rsidR="00D80A0C" w:rsidRPr="00A13B9B">
          <w:rPr>
            <w:rStyle w:val="Hyperlink"/>
            <w:noProof/>
          </w:rPr>
          <w:t>Figure D.1 – Map of Non-Automatic Monitoring Site</w:t>
        </w:r>
        <w:r w:rsidR="00D80A0C">
          <w:rPr>
            <w:noProof/>
            <w:webHidden/>
          </w:rPr>
          <w:tab/>
        </w:r>
        <w:r w:rsidR="00D80A0C">
          <w:rPr>
            <w:noProof/>
            <w:webHidden/>
          </w:rPr>
          <w:fldChar w:fldCharType="begin"/>
        </w:r>
        <w:r w:rsidR="00D80A0C">
          <w:rPr>
            <w:noProof/>
            <w:webHidden/>
          </w:rPr>
          <w:instrText xml:space="preserve"> PAGEREF _Toc67997493 \h </w:instrText>
        </w:r>
        <w:r w:rsidR="00D80A0C">
          <w:rPr>
            <w:noProof/>
            <w:webHidden/>
          </w:rPr>
        </w:r>
        <w:r w:rsidR="00D80A0C">
          <w:rPr>
            <w:noProof/>
            <w:webHidden/>
          </w:rPr>
          <w:fldChar w:fldCharType="separate"/>
        </w:r>
        <w:r w:rsidR="0062374A">
          <w:rPr>
            <w:noProof/>
            <w:webHidden/>
          </w:rPr>
          <w:t>52</w:t>
        </w:r>
        <w:r w:rsidR="00D80A0C">
          <w:rPr>
            <w:noProof/>
            <w:webHidden/>
          </w:rPr>
          <w:fldChar w:fldCharType="end"/>
        </w:r>
      </w:hyperlink>
    </w:p>
    <w:p w14:paraId="09488DFE" w14:textId="0D5D9357" w:rsidR="008A315E" w:rsidRDefault="00647227" w:rsidP="0080530F">
      <w:pPr>
        <w:pStyle w:val="Contents"/>
      </w:pPr>
      <w:r>
        <w:rPr>
          <w:rStyle w:val="Hyperlink"/>
          <w:noProof/>
        </w:rPr>
        <w:fldChar w:fldCharType="end"/>
      </w:r>
      <w:r w:rsidR="008A315E">
        <w:t>Tables</w:t>
      </w:r>
    </w:p>
    <w:p w14:paraId="2FFF1E67" w14:textId="54FCBA6D" w:rsidR="00D80A0C" w:rsidRDefault="008A315E">
      <w:pPr>
        <w:pStyle w:val="TableofFigures"/>
        <w:tabs>
          <w:tab w:val="right" w:leader="dot" w:pos="9621"/>
        </w:tabs>
        <w:rPr>
          <w:rFonts w:asciiTheme="minorHAnsi" w:eastAsiaTheme="minorEastAsia" w:hAnsiTheme="minorHAnsi" w:cstheme="minorBidi"/>
          <w:noProof/>
          <w:sz w:val="22"/>
          <w:lang w:eastAsia="en-GB"/>
        </w:rPr>
      </w:pPr>
      <w:r w:rsidRPr="00B0163A">
        <w:rPr>
          <w:rStyle w:val="Hyperlink"/>
          <w:noProof/>
        </w:rPr>
        <w:fldChar w:fldCharType="begin"/>
      </w:r>
      <w:r w:rsidRPr="00B0163A">
        <w:rPr>
          <w:rStyle w:val="Hyperlink"/>
          <w:noProof/>
        </w:rPr>
        <w:instrText xml:space="preserve"> TOC \h \z \c "Table" </w:instrText>
      </w:r>
      <w:r w:rsidRPr="00B0163A">
        <w:rPr>
          <w:rStyle w:val="Hyperlink"/>
          <w:noProof/>
        </w:rPr>
        <w:fldChar w:fldCharType="separate"/>
      </w:r>
      <w:hyperlink w:anchor="_Toc67997494" w:history="1">
        <w:r w:rsidR="00D80A0C" w:rsidRPr="00EB42E3">
          <w:rPr>
            <w:rStyle w:val="Hyperlink"/>
            <w:noProof/>
          </w:rPr>
          <w:t>Table 2.1 – Declared Air Quality Management Areas</w:t>
        </w:r>
        <w:r w:rsidR="00D80A0C">
          <w:rPr>
            <w:noProof/>
            <w:webHidden/>
          </w:rPr>
          <w:tab/>
        </w:r>
        <w:r w:rsidR="00D80A0C">
          <w:rPr>
            <w:noProof/>
            <w:webHidden/>
          </w:rPr>
          <w:fldChar w:fldCharType="begin"/>
        </w:r>
        <w:r w:rsidR="00D80A0C">
          <w:rPr>
            <w:noProof/>
            <w:webHidden/>
          </w:rPr>
          <w:instrText xml:space="preserve"> PAGEREF _Toc67997494 \h </w:instrText>
        </w:r>
        <w:r w:rsidR="00D80A0C">
          <w:rPr>
            <w:noProof/>
            <w:webHidden/>
          </w:rPr>
        </w:r>
        <w:r w:rsidR="00D80A0C">
          <w:rPr>
            <w:noProof/>
            <w:webHidden/>
          </w:rPr>
          <w:fldChar w:fldCharType="separate"/>
        </w:r>
        <w:r w:rsidR="0062374A">
          <w:rPr>
            <w:noProof/>
            <w:webHidden/>
          </w:rPr>
          <w:t>5</w:t>
        </w:r>
        <w:r w:rsidR="00D80A0C">
          <w:rPr>
            <w:noProof/>
            <w:webHidden/>
          </w:rPr>
          <w:fldChar w:fldCharType="end"/>
        </w:r>
      </w:hyperlink>
    </w:p>
    <w:p w14:paraId="18478DA5" w14:textId="77777777" w:rsidR="00716B87" w:rsidRDefault="00B6413C">
      <w:pPr>
        <w:pStyle w:val="TableofFigures"/>
        <w:tabs>
          <w:tab w:val="right" w:leader="dot" w:pos="9621"/>
        </w:tabs>
        <w:rPr>
          <w:noProof/>
        </w:rPr>
      </w:pPr>
      <w:hyperlink w:anchor="_Toc67997495" w:history="1">
        <w:r w:rsidR="00D80A0C" w:rsidRPr="00EB42E3">
          <w:rPr>
            <w:rStyle w:val="Hyperlink"/>
            <w:noProof/>
          </w:rPr>
          <w:t>Table 2.2 – Progress on Measures to Improve Air Quality</w:t>
        </w:r>
        <w:r w:rsidR="00D80A0C">
          <w:rPr>
            <w:noProof/>
            <w:webHidden/>
          </w:rPr>
          <w:tab/>
        </w:r>
        <w:r w:rsidR="00D80A0C">
          <w:rPr>
            <w:noProof/>
            <w:webHidden/>
          </w:rPr>
          <w:fldChar w:fldCharType="begin"/>
        </w:r>
        <w:r w:rsidR="00D80A0C">
          <w:rPr>
            <w:noProof/>
            <w:webHidden/>
          </w:rPr>
          <w:instrText xml:space="preserve"> PAGEREF _Toc67997495 \h </w:instrText>
        </w:r>
        <w:r w:rsidR="00D80A0C">
          <w:rPr>
            <w:noProof/>
            <w:webHidden/>
          </w:rPr>
        </w:r>
        <w:r w:rsidR="00D80A0C">
          <w:rPr>
            <w:noProof/>
            <w:webHidden/>
          </w:rPr>
          <w:fldChar w:fldCharType="separate"/>
        </w:r>
        <w:r w:rsidR="0062374A">
          <w:rPr>
            <w:noProof/>
            <w:webHidden/>
          </w:rPr>
          <w:t>7</w:t>
        </w:r>
        <w:r w:rsidR="00D80A0C">
          <w:rPr>
            <w:noProof/>
            <w:webHidden/>
          </w:rPr>
          <w:fldChar w:fldCharType="end"/>
        </w:r>
      </w:hyperlink>
      <w:r w:rsidR="008A315E" w:rsidRPr="00B0163A">
        <w:rPr>
          <w:rStyle w:val="Hyperlink"/>
          <w:noProof/>
        </w:rPr>
        <w:fldChar w:fldCharType="end"/>
      </w:r>
      <w:r w:rsidR="008A315E" w:rsidRPr="00B0163A">
        <w:rPr>
          <w:rStyle w:val="Hyperlink"/>
          <w:noProof/>
        </w:rPr>
        <w:fldChar w:fldCharType="begin"/>
      </w:r>
      <w:r w:rsidR="008A315E" w:rsidRPr="00B0163A">
        <w:rPr>
          <w:rStyle w:val="Hyperlink"/>
          <w:noProof/>
        </w:rPr>
        <w:instrText xml:space="preserve"> TOC \h \z \c "Table A" </w:instrText>
      </w:r>
      <w:r w:rsidR="008A315E" w:rsidRPr="00B0163A">
        <w:rPr>
          <w:rStyle w:val="Hyperlink"/>
          <w:noProof/>
        </w:rPr>
        <w:fldChar w:fldCharType="separate"/>
      </w:r>
    </w:p>
    <w:p w14:paraId="1BD6E34D" w14:textId="6D98F128" w:rsidR="00716B87" w:rsidRDefault="00B6413C">
      <w:pPr>
        <w:pStyle w:val="TableofFigures"/>
        <w:tabs>
          <w:tab w:val="right" w:leader="dot" w:pos="9621"/>
        </w:tabs>
        <w:rPr>
          <w:rFonts w:asciiTheme="minorHAnsi" w:eastAsiaTheme="minorEastAsia" w:hAnsiTheme="minorHAnsi" w:cstheme="minorBidi"/>
          <w:noProof/>
          <w:sz w:val="22"/>
          <w:lang w:eastAsia="en-GB"/>
        </w:rPr>
      </w:pPr>
      <w:hyperlink w:anchor="_Toc74642722" w:history="1">
        <w:r w:rsidR="00716B87" w:rsidRPr="004855C7">
          <w:rPr>
            <w:rStyle w:val="Hyperlink"/>
            <w:noProof/>
          </w:rPr>
          <w:t>Table A.1 – Details of Automatic Monitoring Sites</w:t>
        </w:r>
        <w:r w:rsidR="00716B87">
          <w:rPr>
            <w:noProof/>
            <w:webHidden/>
          </w:rPr>
          <w:tab/>
        </w:r>
        <w:r w:rsidR="00716B87">
          <w:rPr>
            <w:noProof/>
            <w:webHidden/>
          </w:rPr>
          <w:fldChar w:fldCharType="begin"/>
        </w:r>
        <w:r w:rsidR="00716B87">
          <w:rPr>
            <w:noProof/>
            <w:webHidden/>
          </w:rPr>
          <w:instrText xml:space="preserve"> PAGEREF _Toc74642722 \h </w:instrText>
        </w:r>
        <w:r w:rsidR="00716B87">
          <w:rPr>
            <w:noProof/>
            <w:webHidden/>
          </w:rPr>
        </w:r>
        <w:r w:rsidR="00716B87">
          <w:rPr>
            <w:noProof/>
            <w:webHidden/>
          </w:rPr>
          <w:fldChar w:fldCharType="separate"/>
        </w:r>
        <w:r w:rsidR="00716B87">
          <w:rPr>
            <w:noProof/>
            <w:webHidden/>
          </w:rPr>
          <w:t>18</w:t>
        </w:r>
        <w:r w:rsidR="00716B87">
          <w:rPr>
            <w:noProof/>
            <w:webHidden/>
          </w:rPr>
          <w:fldChar w:fldCharType="end"/>
        </w:r>
      </w:hyperlink>
    </w:p>
    <w:p w14:paraId="1DDAAF5B" w14:textId="66E452A7" w:rsidR="00716B87" w:rsidRDefault="00B6413C">
      <w:pPr>
        <w:pStyle w:val="TableofFigures"/>
        <w:tabs>
          <w:tab w:val="right" w:leader="dot" w:pos="9621"/>
        </w:tabs>
        <w:rPr>
          <w:rFonts w:asciiTheme="minorHAnsi" w:eastAsiaTheme="minorEastAsia" w:hAnsiTheme="minorHAnsi" w:cstheme="minorBidi"/>
          <w:noProof/>
          <w:sz w:val="22"/>
          <w:lang w:eastAsia="en-GB"/>
        </w:rPr>
      </w:pPr>
      <w:hyperlink w:anchor="_Toc74642723" w:history="1">
        <w:r w:rsidR="00716B87" w:rsidRPr="004855C7">
          <w:rPr>
            <w:rStyle w:val="Hyperlink"/>
            <w:noProof/>
          </w:rPr>
          <w:t>Table A.2 – Details of Non-Automatic Monitoring Sites</w:t>
        </w:r>
        <w:r w:rsidR="00716B87">
          <w:rPr>
            <w:noProof/>
            <w:webHidden/>
          </w:rPr>
          <w:tab/>
        </w:r>
        <w:r w:rsidR="00716B87">
          <w:rPr>
            <w:noProof/>
            <w:webHidden/>
          </w:rPr>
          <w:fldChar w:fldCharType="begin"/>
        </w:r>
        <w:r w:rsidR="00716B87">
          <w:rPr>
            <w:noProof/>
            <w:webHidden/>
          </w:rPr>
          <w:instrText xml:space="preserve"> PAGEREF _Toc74642723 \h </w:instrText>
        </w:r>
        <w:r w:rsidR="00716B87">
          <w:rPr>
            <w:noProof/>
            <w:webHidden/>
          </w:rPr>
        </w:r>
        <w:r w:rsidR="00716B87">
          <w:rPr>
            <w:noProof/>
            <w:webHidden/>
          </w:rPr>
          <w:fldChar w:fldCharType="separate"/>
        </w:r>
        <w:r w:rsidR="00716B87">
          <w:rPr>
            <w:noProof/>
            <w:webHidden/>
          </w:rPr>
          <w:t>19</w:t>
        </w:r>
        <w:r w:rsidR="00716B87">
          <w:rPr>
            <w:noProof/>
            <w:webHidden/>
          </w:rPr>
          <w:fldChar w:fldCharType="end"/>
        </w:r>
      </w:hyperlink>
    </w:p>
    <w:p w14:paraId="6985FA3E" w14:textId="099D4C74" w:rsidR="00716B87" w:rsidRDefault="00B6413C">
      <w:pPr>
        <w:pStyle w:val="TableofFigures"/>
        <w:tabs>
          <w:tab w:val="right" w:leader="dot" w:pos="9621"/>
        </w:tabs>
        <w:rPr>
          <w:rFonts w:asciiTheme="minorHAnsi" w:eastAsiaTheme="minorEastAsia" w:hAnsiTheme="minorHAnsi" w:cstheme="minorBidi"/>
          <w:noProof/>
          <w:sz w:val="22"/>
          <w:lang w:eastAsia="en-GB"/>
        </w:rPr>
      </w:pPr>
      <w:hyperlink w:anchor="_Toc74642724" w:history="1">
        <w:r w:rsidR="00716B87" w:rsidRPr="004855C7">
          <w:rPr>
            <w:rStyle w:val="Hyperlink"/>
            <w:noProof/>
          </w:rPr>
          <w:t>Table A.3 – Annual Mean NO</w:t>
        </w:r>
        <w:r w:rsidR="00716B87" w:rsidRPr="004855C7">
          <w:rPr>
            <w:rStyle w:val="Hyperlink"/>
            <w:noProof/>
            <w:vertAlign w:val="subscript"/>
          </w:rPr>
          <w:t>2</w:t>
        </w:r>
        <w:r w:rsidR="00716B87" w:rsidRPr="004855C7">
          <w:rPr>
            <w:rStyle w:val="Hyperlink"/>
            <w:noProof/>
          </w:rPr>
          <w:t xml:space="preserve"> Monitoring Results: Automatic Monitoring (</w:t>
        </w:r>
        <w:r w:rsidR="00716B87" w:rsidRPr="004855C7">
          <w:rPr>
            <w:rStyle w:val="Hyperlink"/>
            <w:rFonts w:cs="Arial"/>
            <w:noProof/>
          </w:rPr>
          <w:t>µg/m</w:t>
        </w:r>
        <w:r w:rsidR="00716B87" w:rsidRPr="004855C7">
          <w:rPr>
            <w:rStyle w:val="Hyperlink"/>
            <w:rFonts w:cs="Arial"/>
            <w:noProof/>
            <w:vertAlign w:val="superscript"/>
          </w:rPr>
          <w:t>3</w:t>
        </w:r>
        <w:r w:rsidR="00716B87" w:rsidRPr="004855C7">
          <w:rPr>
            <w:rStyle w:val="Hyperlink"/>
            <w:rFonts w:cs="Arial"/>
            <w:noProof/>
          </w:rPr>
          <w:t>)</w:t>
        </w:r>
        <w:r w:rsidR="00716B87">
          <w:rPr>
            <w:noProof/>
            <w:webHidden/>
          </w:rPr>
          <w:tab/>
        </w:r>
        <w:r w:rsidR="00716B87">
          <w:rPr>
            <w:noProof/>
            <w:webHidden/>
          </w:rPr>
          <w:fldChar w:fldCharType="begin"/>
        </w:r>
        <w:r w:rsidR="00716B87">
          <w:rPr>
            <w:noProof/>
            <w:webHidden/>
          </w:rPr>
          <w:instrText xml:space="preserve"> PAGEREF _Toc74642724 \h </w:instrText>
        </w:r>
        <w:r w:rsidR="00716B87">
          <w:rPr>
            <w:noProof/>
            <w:webHidden/>
          </w:rPr>
        </w:r>
        <w:r w:rsidR="00716B87">
          <w:rPr>
            <w:noProof/>
            <w:webHidden/>
          </w:rPr>
          <w:fldChar w:fldCharType="separate"/>
        </w:r>
        <w:r w:rsidR="00716B87">
          <w:rPr>
            <w:noProof/>
            <w:webHidden/>
          </w:rPr>
          <w:t>22</w:t>
        </w:r>
        <w:r w:rsidR="00716B87">
          <w:rPr>
            <w:noProof/>
            <w:webHidden/>
          </w:rPr>
          <w:fldChar w:fldCharType="end"/>
        </w:r>
      </w:hyperlink>
    </w:p>
    <w:p w14:paraId="53DE019A" w14:textId="4BD20846" w:rsidR="00716B87" w:rsidRDefault="00B6413C">
      <w:pPr>
        <w:pStyle w:val="TableofFigures"/>
        <w:tabs>
          <w:tab w:val="right" w:leader="dot" w:pos="9621"/>
        </w:tabs>
        <w:rPr>
          <w:rFonts w:asciiTheme="minorHAnsi" w:eastAsiaTheme="minorEastAsia" w:hAnsiTheme="minorHAnsi" w:cstheme="minorBidi"/>
          <w:noProof/>
          <w:sz w:val="22"/>
          <w:lang w:eastAsia="en-GB"/>
        </w:rPr>
      </w:pPr>
      <w:hyperlink w:anchor="_Toc74642725" w:history="1">
        <w:r w:rsidR="00716B87" w:rsidRPr="004855C7">
          <w:rPr>
            <w:rStyle w:val="Hyperlink"/>
            <w:noProof/>
          </w:rPr>
          <w:t>Table A.4 – Annual Mean NO</w:t>
        </w:r>
        <w:r w:rsidR="00716B87" w:rsidRPr="004855C7">
          <w:rPr>
            <w:rStyle w:val="Hyperlink"/>
            <w:noProof/>
            <w:vertAlign w:val="subscript"/>
          </w:rPr>
          <w:t>2</w:t>
        </w:r>
        <w:r w:rsidR="00716B87" w:rsidRPr="004855C7">
          <w:rPr>
            <w:rStyle w:val="Hyperlink"/>
            <w:noProof/>
          </w:rPr>
          <w:t xml:space="preserve"> Monitoring Results: Non-Automatic Monitoring (</w:t>
        </w:r>
        <w:r w:rsidR="00716B87" w:rsidRPr="004855C7">
          <w:rPr>
            <w:rStyle w:val="Hyperlink"/>
            <w:rFonts w:cs="Arial"/>
            <w:noProof/>
          </w:rPr>
          <w:t>µg/m</w:t>
        </w:r>
        <w:r w:rsidR="00716B87" w:rsidRPr="004855C7">
          <w:rPr>
            <w:rStyle w:val="Hyperlink"/>
            <w:rFonts w:cs="Arial"/>
            <w:noProof/>
            <w:vertAlign w:val="superscript"/>
          </w:rPr>
          <w:t>3</w:t>
        </w:r>
        <w:r w:rsidR="00716B87" w:rsidRPr="004855C7">
          <w:rPr>
            <w:rStyle w:val="Hyperlink"/>
            <w:rFonts w:cs="Arial"/>
            <w:noProof/>
          </w:rPr>
          <w:t>)</w:t>
        </w:r>
        <w:r w:rsidR="00716B87">
          <w:rPr>
            <w:noProof/>
            <w:webHidden/>
          </w:rPr>
          <w:tab/>
        </w:r>
        <w:r w:rsidR="00716B87">
          <w:rPr>
            <w:noProof/>
            <w:webHidden/>
          </w:rPr>
          <w:fldChar w:fldCharType="begin"/>
        </w:r>
        <w:r w:rsidR="00716B87">
          <w:rPr>
            <w:noProof/>
            <w:webHidden/>
          </w:rPr>
          <w:instrText xml:space="preserve"> PAGEREF _Toc74642725 \h </w:instrText>
        </w:r>
        <w:r w:rsidR="00716B87">
          <w:rPr>
            <w:noProof/>
            <w:webHidden/>
          </w:rPr>
        </w:r>
        <w:r w:rsidR="00716B87">
          <w:rPr>
            <w:noProof/>
            <w:webHidden/>
          </w:rPr>
          <w:fldChar w:fldCharType="separate"/>
        </w:r>
        <w:r w:rsidR="00716B87">
          <w:rPr>
            <w:noProof/>
            <w:webHidden/>
          </w:rPr>
          <w:t>23</w:t>
        </w:r>
        <w:r w:rsidR="00716B87">
          <w:rPr>
            <w:noProof/>
            <w:webHidden/>
          </w:rPr>
          <w:fldChar w:fldCharType="end"/>
        </w:r>
      </w:hyperlink>
    </w:p>
    <w:p w14:paraId="06F04C10" w14:textId="5ED0A525" w:rsidR="00716B87" w:rsidRDefault="00B6413C">
      <w:pPr>
        <w:pStyle w:val="TableofFigures"/>
        <w:tabs>
          <w:tab w:val="right" w:leader="dot" w:pos="9621"/>
        </w:tabs>
        <w:rPr>
          <w:rFonts w:asciiTheme="minorHAnsi" w:eastAsiaTheme="minorEastAsia" w:hAnsiTheme="minorHAnsi" w:cstheme="minorBidi"/>
          <w:noProof/>
          <w:sz w:val="22"/>
          <w:lang w:eastAsia="en-GB"/>
        </w:rPr>
      </w:pPr>
      <w:hyperlink w:anchor="_Toc74642726" w:history="1">
        <w:r w:rsidR="00716B87" w:rsidRPr="004855C7">
          <w:rPr>
            <w:rStyle w:val="Hyperlink"/>
            <w:noProof/>
          </w:rPr>
          <w:t>Table A.5 – 1-Hour Mean NO</w:t>
        </w:r>
        <w:r w:rsidR="00716B87" w:rsidRPr="004855C7">
          <w:rPr>
            <w:rStyle w:val="Hyperlink"/>
            <w:noProof/>
            <w:vertAlign w:val="subscript"/>
          </w:rPr>
          <w:t>2</w:t>
        </w:r>
        <w:r w:rsidR="00716B87" w:rsidRPr="004855C7">
          <w:rPr>
            <w:rStyle w:val="Hyperlink"/>
            <w:noProof/>
          </w:rPr>
          <w:t xml:space="preserve"> Monitoring Results, Number of </w:t>
        </w:r>
        <w:r w:rsidR="00716B87" w:rsidRPr="004855C7">
          <w:rPr>
            <w:rStyle w:val="Hyperlink"/>
            <w:rFonts w:cs="Arial"/>
            <w:noProof/>
          </w:rPr>
          <w:t>1-Hour Means &gt; 200µg/m</w:t>
        </w:r>
        <w:r w:rsidR="00716B87" w:rsidRPr="004855C7">
          <w:rPr>
            <w:rStyle w:val="Hyperlink"/>
            <w:rFonts w:cs="Arial"/>
            <w:noProof/>
            <w:vertAlign w:val="superscript"/>
          </w:rPr>
          <w:t>3</w:t>
        </w:r>
        <w:r w:rsidR="00716B87">
          <w:rPr>
            <w:noProof/>
            <w:webHidden/>
          </w:rPr>
          <w:tab/>
        </w:r>
        <w:r w:rsidR="00716B87">
          <w:rPr>
            <w:noProof/>
            <w:webHidden/>
          </w:rPr>
          <w:fldChar w:fldCharType="begin"/>
        </w:r>
        <w:r w:rsidR="00716B87">
          <w:rPr>
            <w:noProof/>
            <w:webHidden/>
          </w:rPr>
          <w:instrText xml:space="preserve"> PAGEREF _Toc74642726 \h </w:instrText>
        </w:r>
        <w:r w:rsidR="00716B87">
          <w:rPr>
            <w:noProof/>
            <w:webHidden/>
          </w:rPr>
        </w:r>
        <w:r w:rsidR="00716B87">
          <w:rPr>
            <w:noProof/>
            <w:webHidden/>
          </w:rPr>
          <w:fldChar w:fldCharType="separate"/>
        </w:r>
        <w:r w:rsidR="00716B87">
          <w:rPr>
            <w:noProof/>
            <w:webHidden/>
          </w:rPr>
          <w:t>35</w:t>
        </w:r>
        <w:r w:rsidR="00716B87">
          <w:rPr>
            <w:noProof/>
            <w:webHidden/>
          </w:rPr>
          <w:fldChar w:fldCharType="end"/>
        </w:r>
      </w:hyperlink>
    </w:p>
    <w:p w14:paraId="4BA2B07E" w14:textId="61AF6637" w:rsidR="00716B87" w:rsidRDefault="00B6413C">
      <w:pPr>
        <w:pStyle w:val="TableofFigures"/>
        <w:tabs>
          <w:tab w:val="right" w:leader="dot" w:pos="9621"/>
        </w:tabs>
        <w:rPr>
          <w:rFonts w:asciiTheme="minorHAnsi" w:eastAsiaTheme="minorEastAsia" w:hAnsiTheme="minorHAnsi" w:cstheme="minorBidi"/>
          <w:noProof/>
          <w:sz w:val="22"/>
          <w:lang w:eastAsia="en-GB"/>
        </w:rPr>
      </w:pPr>
      <w:hyperlink w:anchor="_Toc74642727" w:history="1">
        <w:r w:rsidR="00716B87" w:rsidRPr="004855C7">
          <w:rPr>
            <w:rStyle w:val="Hyperlink"/>
            <w:noProof/>
          </w:rPr>
          <w:t>Table A.6 – Annual Mean PM</w:t>
        </w:r>
        <w:r w:rsidR="00716B87" w:rsidRPr="004855C7">
          <w:rPr>
            <w:rStyle w:val="Hyperlink"/>
            <w:noProof/>
            <w:vertAlign w:val="subscript"/>
          </w:rPr>
          <w:t xml:space="preserve">10 </w:t>
        </w:r>
        <w:r w:rsidR="00716B87" w:rsidRPr="004855C7">
          <w:rPr>
            <w:rStyle w:val="Hyperlink"/>
            <w:noProof/>
          </w:rPr>
          <w:t>Monitoring Results (</w:t>
        </w:r>
        <w:r w:rsidR="00716B87" w:rsidRPr="004855C7">
          <w:rPr>
            <w:rStyle w:val="Hyperlink"/>
            <w:rFonts w:cs="Arial"/>
            <w:noProof/>
          </w:rPr>
          <w:t>µg/m</w:t>
        </w:r>
        <w:r w:rsidR="00716B87" w:rsidRPr="004855C7">
          <w:rPr>
            <w:rStyle w:val="Hyperlink"/>
            <w:rFonts w:cs="Arial"/>
            <w:noProof/>
            <w:vertAlign w:val="superscript"/>
          </w:rPr>
          <w:t>3</w:t>
        </w:r>
        <w:r w:rsidR="00716B87" w:rsidRPr="004855C7">
          <w:rPr>
            <w:rStyle w:val="Hyperlink"/>
            <w:rFonts w:cs="Arial"/>
            <w:noProof/>
          </w:rPr>
          <w:t>)</w:t>
        </w:r>
        <w:r w:rsidR="00716B87">
          <w:rPr>
            <w:noProof/>
            <w:webHidden/>
          </w:rPr>
          <w:tab/>
        </w:r>
        <w:r w:rsidR="00716B87">
          <w:rPr>
            <w:noProof/>
            <w:webHidden/>
          </w:rPr>
          <w:fldChar w:fldCharType="begin"/>
        </w:r>
        <w:r w:rsidR="00716B87">
          <w:rPr>
            <w:noProof/>
            <w:webHidden/>
          </w:rPr>
          <w:instrText xml:space="preserve"> PAGEREF _Toc74642727 \h </w:instrText>
        </w:r>
        <w:r w:rsidR="00716B87">
          <w:rPr>
            <w:noProof/>
            <w:webHidden/>
          </w:rPr>
        </w:r>
        <w:r w:rsidR="00716B87">
          <w:rPr>
            <w:noProof/>
            <w:webHidden/>
          </w:rPr>
          <w:fldChar w:fldCharType="separate"/>
        </w:r>
        <w:r w:rsidR="00716B87">
          <w:rPr>
            <w:noProof/>
            <w:webHidden/>
          </w:rPr>
          <w:t>36</w:t>
        </w:r>
        <w:r w:rsidR="00716B87">
          <w:rPr>
            <w:noProof/>
            <w:webHidden/>
          </w:rPr>
          <w:fldChar w:fldCharType="end"/>
        </w:r>
      </w:hyperlink>
    </w:p>
    <w:p w14:paraId="3B59B1D5" w14:textId="5A3ECEC8" w:rsidR="00716B87" w:rsidRDefault="00B6413C">
      <w:pPr>
        <w:pStyle w:val="TableofFigures"/>
        <w:tabs>
          <w:tab w:val="right" w:leader="dot" w:pos="9621"/>
        </w:tabs>
        <w:rPr>
          <w:rFonts w:asciiTheme="minorHAnsi" w:eastAsiaTheme="minorEastAsia" w:hAnsiTheme="minorHAnsi" w:cstheme="minorBidi"/>
          <w:noProof/>
          <w:sz w:val="22"/>
          <w:lang w:eastAsia="en-GB"/>
        </w:rPr>
      </w:pPr>
      <w:hyperlink w:anchor="_Toc74642728" w:history="1">
        <w:r w:rsidR="00716B87" w:rsidRPr="004855C7">
          <w:rPr>
            <w:rStyle w:val="Hyperlink"/>
            <w:noProof/>
          </w:rPr>
          <w:t xml:space="preserve">Table A.7 – 24-Hour Mean </w:t>
        </w:r>
        <w:r w:rsidR="00716B87" w:rsidRPr="004855C7">
          <w:rPr>
            <w:rStyle w:val="Hyperlink"/>
            <w:rFonts w:cs="Arial"/>
            <w:noProof/>
          </w:rPr>
          <w:t>PM</w:t>
        </w:r>
        <w:r w:rsidR="00716B87" w:rsidRPr="004855C7">
          <w:rPr>
            <w:rStyle w:val="Hyperlink"/>
            <w:rFonts w:cs="Arial"/>
            <w:noProof/>
            <w:vertAlign w:val="subscript"/>
          </w:rPr>
          <w:t>10</w:t>
        </w:r>
        <w:r w:rsidR="00716B87" w:rsidRPr="004855C7">
          <w:rPr>
            <w:rStyle w:val="Hyperlink"/>
            <w:noProof/>
          </w:rPr>
          <w:t xml:space="preserve"> Monitoring Results, Number of </w:t>
        </w:r>
        <w:r w:rsidR="00716B87" w:rsidRPr="004855C7">
          <w:rPr>
            <w:rStyle w:val="Hyperlink"/>
            <w:rFonts w:cs="Arial"/>
            <w:noProof/>
          </w:rPr>
          <w:t>PM</w:t>
        </w:r>
        <w:r w:rsidR="00716B87" w:rsidRPr="004855C7">
          <w:rPr>
            <w:rStyle w:val="Hyperlink"/>
            <w:rFonts w:cs="Arial"/>
            <w:noProof/>
            <w:vertAlign w:val="subscript"/>
          </w:rPr>
          <w:t>10</w:t>
        </w:r>
        <w:r w:rsidR="00716B87" w:rsidRPr="004855C7">
          <w:rPr>
            <w:rStyle w:val="Hyperlink"/>
            <w:rFonts w:cs="Arial"/>
            <w:noProof/>
          </w:rPr>
          <w:t xml:space="preserve"> 24-Hour Means &gt; 50µg/m</w:t>
        </w:r>
        <w:r w:rsidR="00716B87" w:rsidRPr="004855C7">
          <w:rPr>
            <w:rStyle w:val="Hyperlink"/>
            <w:rFonts w:cs="Arial"/>
            <w:noProof/>
            <w:vertAlign w:val="superscript"/>
          </w:rPr>
          <w:t>3</w:t>
        </w:r>
        <w:r w:rsidR="00716B87">
          <w:rPr>
            <w:noProof/>
            <w:webHidden/>
          </w:rPr>
          <w:tab/>
        </w:r>
        <w:r w:rsidR="00716B87">
          <w:rPr>
            <w:noProof/>
            <w:webHidden/>
          </w:rPr>
          <w:fldChar w:fldCharType="begin"/>
        </w:r>
        <w:r w:rsidR="00716B87">
          <w:rPr>
            <w:noProof/>
            <w:webHidden/>
          </w:rPr>
          <w:instrText xml:space="preserve"> PAGEREF _Toc74642728 \h </w:instrText>
        </w:r>
        <w:r w:rsidR="00716B87">
          <w:rPr>
            <w:noProof/>
            <w:webHidden/>
          </w:rPr>
        </w:r>
        <w:r w:rsidR="00716B87">
          <w:rPr>
            <w:noProof/>
            <w:webHidden/>
          </w:rPr>
          <w:fldChar w:fldCharType="separate"/>
        </w:r>
        <w:r w:rsidR="00716B87">
          <w:rPr>
            <w:noProof/>
            <w:webHidden/>
          </w:rPr>
          <w:t>38</w:t>
        </w:r>
        <w:r w:rsidR="00716B87">
          <w:rPr>
            <w:noProof/>
            <w:webHidden/>
          </w:rPr>
          <w:fldChar w:fldCharType="end"/>
        </w:r>
      </w:hyperlink>
    </w:p>
    <w:p w14:paraId="7B080CF8" w14:textId="2CFA519C" w:rsidR="00716B87" w:rsidRDefault="00B6413C">
      <w:pPr>
        <w:pStyle w:val="TableofFigures"/>
        <w:tabs>
          <w:tab w:val="right" w:leader="dot" w:pos="9621"/>
        </w:tabs>
        <w:rPr>
          <w:rFonts w:asciiTheme="minorHAnsi" w:eastAsiaTheme="minorEastAsia" w:hAnsiTheme="minorHAnsi" w:cstheme="minorBidi"/>
          <w:noProof/>
          <w:sz w:val="22"/>
          <w:lang w:eastAsia="en-GB"/>
        </w:rPr>
      </w:pPr>
      <w:hyperlink w:anchor="_Toc74642729" w:history="1">
        <w:r w:rsidR="00716B87" w:rsidRPr="004855C7">
          <w:rPr>
            <w:rStyle w:val="Hyperlink"/>
            <w:noProof/>
          </w:rPr>
          <w:t>Table A.8 – Annual Mean PM</w:t>
        </w:r>
        <w:r w:rsidR="00716B87" w:rsidRPr="004855C7">
          <w:rPr>
            <w:rStyle w:val="Hyperlink"/>
            <w:noProof/>
            <w:vertAlign w:val="subscript"/>
          </w:rPr>
          <w:t xml:space="preserve">2.5 </w:t>
        </w:r>
        <w:r w:rsidR="00716B87" w:rsidRPr="004855C7">
          <w:rPr>
            <w:rStyle w:val="Hyperlink"/>
            <w:noProof/>
          </w:rPr>
          <w:t>Monitoring Results (</w:t>
        </w:r>
        <w:r w:rsidR="00716B87" w:rsidRPr="004855C7">
          <w:rPr>
            <w:rStyle w:val="Hyperlink"/>
            <w:rFonts w:cs="Arial"/>
            <w:noProof/>
          </w:rPr>
          <w:t>µg/m</w:t>
        </w:r>
        <w:r w:rsidR="00716B87" w:rsidRPr="004855C7">
          <w:rPr>
            <w:rStyle w:val="Hyperlink"/>
            <w:rFonts w:cs="Arial"/>
            <w:noProof/>
            <w:vertAlign w:val="superscript"/>
          </w:rPr>
          <w:t>3</w:t>
        </w:r>
        <w:r w:rsidR="00716B87" w:rsidRPr="004855C7">
          <w:rPr>
            <w:rStyle w:val="Hyperlink"/>
            <w:rFonts w:cs="Arial"/>
            <w:noProof/>
          </w:rPr>
          <w:t>)</w:t>
        </w:r>
        <w:r w:rsidR="00716B87">
          <w:rPr>
            <w:noProof/>
            <w:webHidden/>
          </w:rPr>
          <w:tab/>
        </w:r>
        <w:r w:rsidR="00716B87">
          <w:rPr>
            <w:noProof/>
            <w:webHidden/>
          </w:rPr>
          <w:fldChar w:fldCharType="begin"/>
        </w:r>
        <w:r w:rsidR="00716B87">
          <w:rPr>
            <w:noProof/>
            <w:webHidden/>
          </w:rPr>
          <w:instrText xml:space="preserve"> PAGEREF _Toc74642729 \h </w:instrText>
        </w:r>
        <w:r w:rsidR="00716B87">
          <w:rPr>
            <w:noProof/>
            <w:webHidden/>
          </w:rPr>
        </w:r>
        <w:r w:rsidR="00716B87">
          <w:rPr>
            <w:noProof/>
            <w:webHidden/>
          </w:rPr>
          <w:fldChar w:fldCharType="separate"/>
        </w:r>
        <w:r w:rsidR="00716B87">
          <w:rPr>
            <w:noProof/>
            <w:webHidden/>
          </w:rPr>
          <w:t>39</w:t>
        </w:r>
        <w:r w:rsidR="00716B87">
          <w:rPr>
            <w:noProof/>
            <w:webHidden/>
          </w:rPr>
          <w:fldChar w:fldCharType="end"/>
        </w:r>
      </w:hyperlink>
    </w:p>
    <w:p w14:paraId="15DC65E4" w14:textId="0C11A440" w:rsidR="00D80A0C" w:rsidRDefault="008A315E">
      <w:pPr>
        <w:pStyle w:val="TableofFigures"/>
        <w:tabs>
          <w:tab w:val="right" w:leader="dot" w:pos="9621"/>
        </w:tabs>
        <w:rPr>
          <w:noProof/>
        </w:rPr>
      </w:pPr>
      <w:r w:rsidRPr="00B0163A">
        <w:rPr>
          <w:rStyle w:val="Hyperlink"/>
          <w:noProof/>
        </w:rPr>
        <w:fldChar w:fldCharType="end"/>
      </w:r>
      <w:r w:rsidRPr="008A315E">
        <w:rPr>
          <w:rStyle w:val="Hyperlink"/>
          <w:noProof/>
        </w:rPr>
        <w:fldChar w:fldCharType="begin"/>
      </w:r>
      <w:r w:rsidRPr="008A315E">
        <w:rPr>
          <w:rStyle w:val="Hyperlink"/>
          <w:noProof/>
        </w:rPr>
        <w:instrText xml:space="preserve"> TOC \h \z \c "Table B" </w:instrText>
      </w:r>
      <w:r w:rsidRPr="008A315E">
        <w:rPr>
          <w:rStyle w:val="Hyperlink"/>
          <w:noProof/>
        </w:rPr>
        <w:fldChar w:fldCharType="separate"/>
      </w:r>
    </w:p>
    <w:p w14:paraId="395FD03E" w14:textId="77777777" w:rsidR="00DD3CA4" w:rsidRDefault="00B6413C">
      <w:pPr>
        <w:pStyle w:val="TableofFigures"/>
        <w:tabs>
          <w:tab w:val="right" w:leader="dot" w:pos="9621"/>
        </w:tabs>
        <w:rPr>
          <w:noProof/>
        </w:rPr>
      </w:pPr>
      <w:hyperlink w:anchor="_Toc67997505" w:history="1">
        <w:r w:rsidR="00D80A0C" w:rsidRPr="00382678">
          <w:rPr>
            <w:rStyle w:val="Hyperlink"/>
            <w:noProof/>
          </w:rPr>
          <w:t>Table B.1 – NO</w:t>
        </w:r>
        <w:r w:rsidR="00D80A0C" w:rsidRPr="00382678">
          <w:rPr>
            <w:rStyle w:val="Hyperlink"/>
            <w:noProof/>
            <w:vertAlign w:val="subscript"/>
          </w:rPr>
          <w:t>2</w:t>
        </w:r>
        <w:r w:rsidR="00D80A0C" w:rsidRPr="00382678">
          <w:rPr>
            <w:rStyle w:val="Hyperlink"/>
            <w:noProof/>
          </w:rPr>
          <w:t xml:space="preserve"> 2020 Diffusion Tube Results (</w:t>
        </w:r>
        <w:r w:rsidR="00D80A0C" w:rsidRPr="00382678">
          <w:rPr>
            <w:rStyle w:val="Hyperlink"/>
            <w:rFonts w:cs="Arial"/>
            <w:noProof/>
          </w:rPr>
          <w:t>µg/m</w:t>
        </w:r>
        <w:r w:rsidR="00D80A0C" w:rsidRPr="00382678">
          <w:rPr>
            <w:rStyle w:val="Hyperlink"/>
            <w:rFonts w:cs="Arial"/>
            <w:noProof/>
            <w:vertAlign w:val="superscript"/>
          </w:rPr>
          <w:t>3</w:t>
        </w:r>
        <w:r w:rsidR="00D80A0C" w:rsidRPr="00382678">
          <w:rPr>
            <w:rStyle w:val="Hyperlink"/>
            <w:rFonts w:cs="Arial"/>
            <w:noProof/>
          </w:rPr>
          <w:t>)</w:t>
        </w:r>
        <w:r w:rsidR="00D80A0C">
          <w:rPr>
            <w:noProof/>
            <w:webHidden/>
          </w:rPr>
          <w:tab/>
        </w:r>
        <w:r w:rsidR="00D80A0C">
          <w:rPr>
            <w:noProof/>
            <w:webHidden/>
          </w:rPr>
          <w:fldChar w:fldCharType="begin"/>
        </w:r>
        <w:r w:rsidR="00D80A0C">
          <w:rPr>
            <w:noProof/>
            <w:webHidden/>
          </w:rPr>
          <w:instrText xml:space="preserve"> PAGEREF _Toc67997505 \h </w:instrText>
        </w:r>
        <w:r w:rsidR="00D80A0C">
          <w:rPr>
            <w:noProof/>
            <w:webHidden/>
          </w:rPr>
        </w:r>
        <w:r w:rsidR="00D80A0C">
          <w:rPr>
            <w:noProof/>
            <w:webHidden/>
          </w:rPr>
          <w:fldChar w:fldCharType="separate"/>
        </w:r>
        <w:r w:rsidR="0062374A">
          <w:rPr>
            <w:noProof/>
            <w:webHidden/>
          </w:rPr>
          <w:t>41</w:t>
        </w:r>
        <w:r w:rsidR="00D80A0C">
          <w:rPr>
            <w:noProof/>
            <w:webHidden/>
          </w:rPr>
          <w:fldChar w:fldCharType="end"/>
        </w:r>
      </w:hyperlink>
      <w:r w:rsidR="008A315E" w:rsidRPr="008A315E">
        <w:rPr>
          <w:rStyle w:val="Hyperlink"/>
          <w:noProof/>
        </w:rPr>
        <w:fldChar w:fldCharType="end"/>
      </w:r>
      <w:r w:rsidR="004E0105">
        <w:rPr>
          <w:rStyle w:val="Hyperlink"/>
          <w:noProof/>
        </w:rPr>
        <w:fldChar w:fldCharType="begin"/>
      </w:r>
      <w:r w:rsidR="004E0105">
        <w:rPr>
          <w:rStyle w:val="Hyperlink"/>
          <w:noProof/>
        </w:rPr>
        <w:instrText xml:space="preserve"> TOC \h \z \c "Table C" </w:instrText>
      </w:r>
      <w:r w:rsidR="004E0105">
        <w:rPr>
          <w:rStyle w:val="Hyperlink"/>
          <w:noProof/>
        </w:rPr>
        <w:fldChar w:fldCharType="separate"/>
      </w:r>
    </w:p>
    <w:p w14:paraId="2BC4B20B" w14:textId="12E87584" w:rsidR="00DD3CA4" w:rsidRDefault="00B6413C">
      <w:pPr>
        <w:pStyle w:val="TableofFigures"/>
        <w:tabs>
          <w:tab w:val="right" w:leader="dot" w:pos="9621"/>
        </w:tabs>
        <w:rPr>
          <w:rFonts w:asciiTheme="minorHAnsi" w:eastAsiaTheme="minorEastAsia" w:hAnsiTheme="minorHAnsi" w:cstheme="minorBidi"/>
          <w:noProof/>
          <w:sz w:val="22"/>
          <w:lang w:eastAsia="en-GB"/>
        </w:rPr>
      </w:pPr>
      <w:hyperlink w:anchor="_Toc75438463" w:history="1">
        <w:r w:rsidR="00DD3CA4" w:rsidRPr="00851037">
          <w:rPr>
            <w:rStyle w:val="Hyperlink"/>
            <w:noProof/>
          </w:rPr>
          <w:t>Table C.1 – Bias Adjustment Factor</w:t>
        </w:r>
        <w:r w:rsidR="00DD3CA4">
          <w:rPr>
            <w:noProof/>
            <w:webHidden/>
          </w:rPr>
          <w:tab/>
        </w:r>
        <w:r w:rsidR="00DD3CA4">
          <w:rPr>
            <w:noProof/>
            <w:webHidden/>
          </w:rPr>
          <w:fldChar w:fldCharType="begin"/>
        </w:r>
        <w:r w:rsidR="00DD3CA4">
          <w:rPr>
            <w:noProof/>
            <w:webHidden/>
          </w:rPr>
          <w:instrText xml:space="preserve"> PAGEREF _Toc75438463 \h </w:instrText>
        </w:r>
        <w:r w:rsidR="00DD3CA4">
          <w:rPr>
            <w:noProof/>
            <w:webHidden/>
          </w:rPr>
        </w:r>
        <w:r w:rsidR="00DD3CA4">
          <w:rPr>
            <w:noProof/>
            <w:webHidden/>
          </w:rPr>
          <w:fldChar w:fldCharType="separate"/>
        </w:r>
        <w:r w:rsidR="00DD3CA4">
          <w:rPr>
            <w:noProof/>
            <w:webHidden/>
          </w:rPr>
          <w:t>50</w:t>
        </w:r>
        <w:r w:rsidR="00DD3CA4">
          <w:rPr>
            <w:noProof/>
            <w:webHidden/>
          </w:rPr>
          <w:fldChar w:fldCharType="end"/>
        </w:r>
      </w:hyperlink>
    </w:p>
    <w:p w14:paraId="33EF0978" w14:textId="452324D5" w:rsidR="00DD3CA4" w:rsidRDefault="00B6413C">
      <w:pPr>
        <w:pStyle w:val="TableofFigures"/>
        <w:tabs>
          <w:tab w:val="right" w:leader="dot" w:pos="9621"/>
        </w:tabs>
        <w:rPr>
          <w:rFonts w:asciiTheme="minorHAnsi" w:eastAsiaTheme="minorEastAsia" w:hAnsiTheme="minorHAnsi" w:cstheme="minorBidi"/>
          <w:noProof/>
          <w:sz w:val="22"/>
          <w:lang w:eastAsia="en-GB"/>
        </w:rPr>
      </w:pPr>
      <w:hyperlink w:anchor="_Toc75438464" w:history="1">
        <w:r w:rsidR="00DD3CA4" w:rsidRPr="00851037">
          <w:rPr>
            <w:rStyle w:val="Hyperlink"/>
            <w:noProof/>
          </w:rPr>
          <w:t xml:space="preserve">Table C.2 – Annualisation Summary (concentrations presented in </w:t>
        </w:r>
        <w:r w:rsidR="00DD3CA4" w:rsidRPr="00851037">
          <w:rPr>
            <w:rStyle w:val="Hyperlink"/>
            <w:rFonts w:cs="Arial"/>
            <w:noProof/>
          </w:rPr>
          <w:t>µ</w:t>
        </w:r>
        <w:r w:rsidR="00DD3CA4" w:rsidRPr="00851037">
          <w:rPr>
            <w:rStyle w:val="Hyperlink"/>
            <w:noProof/>
          </w:rPr>
          <w:t>g/m</w:t>
        </w:r>
        <w:r w:rsidR="00DD3CA4" w:rsidRPr="00851037">
          <w:rPr>
            <w:rStyle w:val="Hyperlink"/>
            <w:noProof/>
            <w:vertAlign w:val="superscript"/>
          </w:rPr>
          <w:t>3</w:t>
        </w:r>
        <w:r w:rsidR="00DD3CA4" w:rsidRPr="00851037">
          <w:rPr>
            <w:rStyle w:val="Hyperlink"/>
            <w:noProof/>
          </w:rPr>
          <w:t>)</w:t>
        </w:r>
        <w:r w:rsidR="00DD3CA4">
          <w:rPr>
            <w:noProof/>
            <w:webHidden/>
          </w:rPr>
          <w:tab/>
        </w:r>
        <w:r w:rsidR="00DD3CA4">
          <w:rPr>
            <w:noProof/>
            <w:webHidden/>
          </w:rPr>
          <w:fldChar w:fldCharType="begin"/>
        </w:r>
        <w:r w:rsidR="00DD3CA4">
          <w:rPr>
            <w:noProof/>
            <w:webHidden/>
          </w:rPr>
          <w:instrText xml:space="preserve"> PAGEREF _Toc75438464 \h </w:instrText>
        </w:r>
        <w:r w:rsidR="00DD3CA4">
          <w:rPr>
            <w:noProof/>
            <w:webHidden/>
          </w:rPr>
        </w:r>
        <w:r w:rsidR="00DD3CA4">
          <w:rPr>
            <w:noProof/>
            <w:webHidden/>
          </w:rPr>
          <w:fldChar w:fldCharType="separate"/>
        </w:r>
        <w:r w:rsidR="00DD3CA4">
          <w:rPr>
            <w:noProof/>
            <w:webHidden/>
          </w:rPr>
          <w:t>53</w:t>
        </w:r>
        <w:r w:rsidR="00DD3CA4">
          <w:rPr>
            <w:noProof/>
            <w:webHidden/>
          </w:rPr>
          <w:fldChar w:fldCharType="end"/>
        </w:r>
      </w:hyperlink>
    </w:p>
    <w:p w14:paraId="744B0048" w14:textId="05D8BFF2" w:rsidR="00DD3CA4" w:rsidRDefault="00B6413C">
      <w:pPr>
        <w:pStyle w:val="TableofFigures"/>
        <w:tabs>
          <w:tab w:val="right" w:leader="dot" w:pos="9621"/>
        </w:tabs>
        <w:rPr>
          <w:rFonts w:asciiTheme="minorHAnsi" w:eastAsiaTheme="minorEastAsia" w:hAnsiTheme="minorHAnsi" w:cstheme="minorBidi"/>
          <w:noProof/>
          <w:sz w:val="22"/>
          <w:lang w:eastAsia="en-GB"/>
        </w:rPr>
      </w:pPr>
      <w:hyperlink w:anchor="_Toc75438465" w:history="1">
        <w:r w:rsidR="00DD3CA4" w:rsidRPr="00851037">
          <w:rPr>
            <w:rStyle w:val="Hyperlink"/>
            <w:noProof/>
          </w:rPr>
          <w:t>Table C.3 – Local Bias Adjustment Calculation</w:t>
        </w:r>
        <w:r w:rsidR="00DD3CA4">
          <w:rPr>
            <w:noProof/>
            <w:webHidden/>
          </w:rPr>
          <w:tab/>
        </w:r>
        <w:r w:rsidR="00DD3CA4">
          <w:rPr>
            <w:noProof/>
            <w:webHidden/>
          </w:rPr>
          <w:fldChar w:fldCharType="begin"/>
        </w:r>
        <w:r w:rsidR="00DD3CA4">
          <w:rPr>
            <w:noProof/>
            <w:webHidden/>
          </w:rPr>
          <w:instrText xml:space="preserve"> PAGEREF _Toc75438465 \h </w:instrText>
        </w:r>
        <w:r w:rsidR="00DD3CA4">
          <w:rPr>
            <w:noProof/>
            <w:webHidden/>
          </w:rPr>
        </w:r>
        <w:r w:rsidR="00DD3CA4">
          <w:rPr>
            <w:noProof/>
            <w:webHidden/>
          </w:rPr>
          <w:fldChar w:fldCharType="separate"/>
        </w:r>
        <w:r w:rsidR="00DD3CA4">
          <w:rPr>
            <w:noProof/>
            <w:webHidden/>
          </w:rPr>
          <w:t>54</w:t>
        </w:r>
        <w:r w:rsidR="00DD3CA4">
          <w:rPr>
            <w:noProof/>
            <w:webHidden/>
          </w:rPr>
          <w:fldChar w:fldCharType="end"/>
        </w:r>
      </w:hyperlink>
    </w:p>
    <w:p w14:paraId="4AD72DAF" w14:textId="7C84A993" w:rsidR="00D80A0C" w:rsidRDefault="004E0105" w:rsidP="00647227">
      <w:pPr>
        <w:pStyle w:val="TableofFigures"/>
        <w:tabs>
          <w:tab w:val="right" w:leader="dot" w:pos="9621"/>
        </w:tabs>
        <w:rPr>
          <w:noProof/>
        </w:rPr>
      </w:pPr>
      <w:r>
        <w:rPr>
          <w:rStyle w:val="Hyperlink"/>
          <w:noProof/>
        </w:rPr>
        <w:fldChar w:fldCharType="end"/>
      </w:r>
      <w:r w:rsidR="00647227">
        <w:rPr>
          <w:rStyle w:val="Hyperlink"/>
          <w:noProof/>
        </w:rPr>
        <w:fldChar w:fldCharType="begin"/>
      </w:r>
      <w:r w:rsidR="00647227">
        <w:rPr>
          <w:rStyle w:val="Hyperlink"/>
          <w:noProof/>
        </w:rPr>
        <w:instrText xml:space="preserve"> TOC \h \z \c "Table E" </w:instrText>
      </w:r>
      <w:r w:rsidR="00647227">
        <w:rPr>
          <w:rStyle w:val="Hyperlink"/>
          <w:noProof/>
        </w:rPr>
        <w:fldChar w:fldCharType="separate"/>
      </w:r>
    </w:p>
    <w:p w14:paraId="3206BE9D" w14:textId="48446AC0" w:rsidR="002048BE" w:rsidRDefault="00B6413C" w:rsidP="00647227">
      <w:pPr>
        <w:pStyle w:val="TableofFigures"/>
        <w:tabs>
          <w:tab w:val="right" w:leader="dot" w:pos="9621"/>
        </w:tabs>
        <w:rPr>
          <w:rStyle w:val="Hyperlink"/>
          <w:noProof/>
        </w:rPr>
      </w:pPr>
      <w:hyperlink w:anchor="_Toc67997510" w:history="1">
        <w:r w:rsidR="00D80A0C" w:rsidRPr="00A91C2D">
          <w:rPr>
            <w:rStyle w:val="Hyperlink"/>
            <w:noProof/>
          </w:rPr>
          <w:t>Table E.1 – Air Quality Objectives in England</w:t>
        </w:r>
        <w:r w:rsidR="00D80A0C">
          <w:rPr>
            <w:noProof/>
            <w:webHidden/>
          </w:rPr>
          <w:tab/>
        </w:r>
        <w:r w:rsidR="00D80A0C">
          <w:rPr>
            <w:noProof/>
            <w:webHidden/>
          </w:rPr>
          <w:fldChar w:fldCharType="begin"/>
        </w:r>
        <w:r w:rsidR="00D80A0C">
          <w:rPr>
            <w:noProof/>
            <w:webHidden/>
          </w:rPr>
          <w:instrText xml:space="preserve"> PAGEREF _Toc67997510 \h </w:instrText>
        </w:r>
        <w:r w:rsidR="00D80A0C">
          <w:rPr>
            <w:noProof/>
            <w:webHidden/>
          </w:rPr>
        </w:r>
        <w:r w:rsidR="00D80A0C">
          <w:rPr>
            <w:noProof/>
            <w:webHidden/>
          </w:rPr>
          <w:fldChar w:fldCharType="separate"/>
        </w:r>
        <w:r w:rsidR="0062374A">
          <w:rPr>
            <w:noProof/>
            <w:webHidden/>
          </w:rPr>
          <w:t>57</w:t>
        </w:r>
        <w:r w:rsidR="00D80A0C">
          <w:rPr>
            <w:noProof/>
            <w:webHidden/>
          </w:rPr>
          <w:fldChar w:fldCharType="end"/>
        </w:r>
      </w:hyperlink>
      <w:r w:rsidR="00647227">
        <w:rPr>
          <w:rStyle w:val="Hyperlink"/>
          <w:noProof/>
        </w:rPr>
        <w:fldChar w:fldCharType="end"/>
      </w:r>
    </w:p>
    <w:p w14:paraId="08846F00" w14:textId="7FBB0E28" w:rsidR="00D80A0C" w:rsidRDefault="006D007B">
      <w:pPr>
        <w:pStyle w:val="TableofFigures"/>
        <w:tabs>
          <w:tab w:val="right" w:leader="dot" w:pos="9621"/>
        </w:tabs>
        <w:rPr>
          <w:rFonts w:asciiTheme="minorHAnsi" w:eastAsiaTheme="minorEastAsia" w:hAnsiTheme="minorHAnsi" w:cstheme="minorBidi"/>
          <w:noProof/>
          <w:sz w:val="22"/>
          <w:lang w:eastAsia="en-GB"/>
        </w:rPr>
      </w:pPr>
      <w:r>
        <w:fldChar w:fldCharType="begin"/>
      </w:r>
      <w:r>
        <w:instrText xml:space="preserve"> TOC \h \z \c "Table F" </w:instrText>
      </w:r>
      <w:r>
        <w:fldChar w:fldCharType="separate"/>
      </w:r>
      <w:hyperlink w:anchor="_Toc67997511" w:history="1">
        <w:r w:rsidR="00D80A0C" w:rsidRPr="0052093B">
          <w:rPr>
            <w:rStyle w:val="Hyperlink"/>
            <w:noProof/>
          </w:rPr>
          <w:t>Table F 1 - Impact Matrix</w:t>
        </w:r>
        <w:r w:rsidR="00D80A0C">
          <w:rPr>
            <w:noProof/>
            <w:webHidden/>
          </w:rPr>
          <w:tab/>
        </w:r>
        <w:r w:rsidR="00D80A0C">
          <w:rPr>
            <w:noProof/>
            <w:webHidden/>
          </w:rPr>
          <w:fldChar w:fldCharType="begin"/>
        </w:r>
        <w:r w:rsidR="00D80A0C">
          <w:rPr>
            <w:noProof/>
            <w:webHidden/>
          </w:rPr>
          <w:instrText xml:space="preserve"> PAGEREF _Toc67997511 \h </w:instrText>
        </w:r>
        <w:r w:rsidR="00D80A0C">
          <w:rPr>
            <w:noProof/>
            <w:webHidden/>
          </w:rPr>
        </w:r>
        <w:r w:rsidR="00D80A0C">
          <w:rPr>
            <w:noProof/>
            <w:webHidden/>
          </w:rPr>
          <w:fldChar w:fldCharType="separate"/>
        </w:r>
        <w:r w:rsidR="0062374A">
          <w:rPr>
            <w:noProof/>
            <w:webHidden/>
          </w:rPr>
          <w:t>64</w:t>
        </w:r>
        <w:r w:rsidR="00D80A0C">
          <w:rPr>
            <w:noProof/>
            <w:webHidden/>
          </w:rPr>
          <w:fldChar w:fldCharType="end"/>
        </w:r>
      </w:hyperlink>
    </w:p>
    <w:p w14:paraId="59C0A19B" w14:textId="5BA318AF" w:rsidR="00647227" w:rsidRPr="0080530F" w:rsidRDefault="006D007B" w:rsidP="0080530F">
      <w:r>
        <w:fldChar w:fldCharType="end"/>
      </w:r>
    </w:p>
    <w:p w14:paraId="11B0D9D9" w14:textId="77777777" w:rsidR="008A315E" w:rsidRDefault="008A315E" w:rsidP="00400B0F">
      <w:pPr>
        <w:rPr>
          <w:b/>
        </w:rPr>
        <w:sectPr w:rsidR="008A315E" w:rsidSect="00F740F6">
          <w:pgSz w:w="11899" w:h="16838" w:code="9"/>
          <w:pgMar w:top="1134" w:right="1134" w:bottom="1134" w:left="1134" w:header="340" w:footer="340" w:gutter="0"/>
          <w:pgNumType w:fmt="lowerRoman"/>
          <w:cols w:space="708"/>
          <w:docGrid w:linePitch="326"/>
        </w:sectPr>
      </w:pPr>
    </w:p>
    <w:p w14:paraId="48A2219D" w14:textId="77777777" w:rsidR="00DB646E" w:rsidRDefault="00C04D38" w:rsidP="00400B0F">
      <w:pPr>
        <w:pStyle w:val="Heading1"/>
      </w:pPr>
      <w:bookmarkStart w:id="8" w:name="_Toc75438374"/>
      <w:bookmarkStart w:id="9" w:name="_Toc522629668"/>
      <w:bookmarkStart w:id="10" w:name="_Toc522629671"/>
      <w:bookmarkEnd w:id="7"/>
      <w:r w:rsidRPr="00F72D48">
        <w:t>Local</w:t>
      </w:r>
      <w:r>
        <w:t xml:space="preserve"> Air Quality Management</w:t>
      </w:r>
      <w:bookmarkEnd w:id="8"/>
    </w:p>
    <w:p w14:paraId="0EF05E54" w14:textId="7FE0CFEE" w:rsidR="00C04D38" w:rsidRDefault="00C04D38" w:rsidP="00400B0F">
      <w:r>
        <w:t>This report provides an overview of air quality i</w:t>
      </w:r>
      <w:r w:rsidR="003C2F35">
        <w:t>n South Tyneside Council</w:t>
      </w:r>
      <w:r w:rsidR="00A1229F" w:rsidRPr="00A1229F">
        <w:rPr>
          <w:color w:val="FF0000"/>
        </w:rPr>
        <w:t xml:space="preserve"> </w:t>
      </w:r>
      <w:r>
        <w:t>during</w:t>
      </w:r>
      <w:r w:rsidR="003C2F35">
        <w:t xml:space="preserve"> 202</w:t>
      </w:r>
      <w:r w:rsidR="00EA58E9">
        <w:t>0</w:t>
      </w:r>
      <w:r w:rsidR="003C2F35">
        <w:t>.</w:t>
      </w:r>
      <w:r>
        <w:t xml:space="preserve"> It fulfils the requirements of Local Air Quality Management (LAQM) as set out in Part IV of the Environment Act (1995) and the relevant Policy and Technical Guidance documents.</w:t>
      </w:r>
    </w:p>
    <w:p w14:paraId="365F6B46" w14:textId="4F9B4D15" w:rsidR="007C35A9" w:rsidRDefault="00C04D38" w:rsidP="00400B0F">
      <w:r>
        <w:t xml:space="preserve">The LAQM process places an obligation on all local authorities to regularly review and assess air quality in their areas, and to determine whether or not the air quality objectives are likely to be achieved. Where an exceedance is considered likely the local authority must declare an Air Quality Management Area (AQMA) and prepare an Air Quality Action Plan (AQAP) setting out the measures it intends to put in place in pursuit of the objectives. This Annual Status Report (ASR) is an annual requirement showing the strategies employed by </w:t>
      </w:r>
      <w:r w:rsidR="003C2F35">
        <w:t>South Tyneside Council</w:t>
      </w:r>
      <w:r w:rsidR="003C2F35" w:rsidRPr="00A1229F">
        <w:rPr>
          <w:color w:val="FF0000"/>
        </w:rPr>
        <w:t xml:space="preserve"> </w:t>
      </w:r>
      <w:r>
        <w:t>to improve air quality and any progress that has been made.</w:t>
      </w:r>
    </w:p>
    <w:p w14:paraId="05A31D19" w14:textId="02981D1C" w:rsidR="00DB646E" w:rsidRDefault="00C04D38" w:rsidP="00400B0F">
      <w:r>
        <w:t xml:space="preserve">The </w:t>
      </w:r>
      <w:r w:rsidRPr="00E33DDC">
        <w:t xml:space="preserve">statutory air quality objectives applicable to LAQM in England </w:t>
      </w:r>
      <w:r w:rsidR="00E33DDC" w:rsidRPr="00E33DDC">
        <w:t>are presented</w:t>
      </w:r>
      <w:r w:rsidRPr="00E33DDC">
        <w:t xml:space="preserve"> in </w:t>
      </w:r>
      <w:r w:rsidR="00E33DDC" w:rsidRPr="00E33DDC">
        <w:rPr>
          <w:color w:val="2B579A"/>
          <w:shd w:val="clear" w:color="auto" w:fill="E6E6E6"/>
        </w:rPr>
        <w:fldChar w:fldCharType="begin"/>
      </w:r>
      <w:r w:rsidR="00E33DDC" w:rsidRPr="00E33DDC">
        <w:instrText xml:space="preserve"> REF _Ref55286084 \h </w:instrText>
      </w:r>
      <w:r w:rsidR="00E33DDC">
        <w:instrText xml:space="preserve"> \* MERGEFORMAT </w:instrText>
      </w:r>
      <w:r w:rsidR="00E33DDC" w:rsidRPr="00E33DDC">
        <w:rPr>
          <w:color w:val="2B579A"/>
          <w:shd w:val="clear" w:color="auto" w:fill="E6E6E6"/>
        </w:rPr>
      </w:r>
      <w:r w:rsidR="00E33DDC" w:rsidRPr="00E33DDC">
        <w:rPr>
          <w:color w:val="2B579A"/>
          <w:shd w:val="clear" w:color="auto" w:fill="E6E6E6"/>
        </w:rPr>
        <w:fldChar w:fldCharType="separate"/>
      </w:r>
      <w:r w:rsidR="0062374A">
        <w:t>Table E.</w:t>
      </w:r>
      <w:r w:rsidR="0062374A">
        <w:rPr>
          <w:noProof/>
        </w:rPr>
        <w:t>1</w:t>
      </w:r>
      <w:r w:rsidR="00E33DDC" w:rsidRPr="00E33DDC">
        <w:rPr>
          <w:color w:val="2B579A"/>
          <w:shd w:val="clear" w:color="auto" w:fill="E6E6E6"/>
        </w:rPr>
        <w:fldChar w:fldCharType="end"/>
      </w:r>
      <w:r w:rsidR="00DB646E" w:rsidRPr="00E33DDC">
        <w:t>.</w:t>
      </w:r>
    </w:p>
    <w:p w14:paraId="5D9FF231" w14:textId="77777777" w:rsidR="00E56F4E" w:rsidRPr="00E56F4E" w:rsidRDefault="00E56F4E" w:rsidP="00400B0F"/>
    <w:p w14:paraId="5C1B1EC9" w14:textId="77777777" w:rsidR="00E56F4E" w:rsidRDefault="00E56F4E" w:rsidP="00400B0F">
      <w:pPr>
        <w:spacing w:before="0" w:after="0"/>
        <w:rPr>
          <w:rFonts w:eastAsia="Times New Roman"/>
          <w:b/>
          <w:bCs/>
          <w:iCs/>
          <w:color w:val="008938"/>
          <w:sz w:val="36"/>
          <w:szCs w:val="28"/>
        </w:rPr>
        <w:sectPr w:rsidR="00E56F4E" w:rsidSect="003172A5">
          <w:footerReference w:type="default" r:id="rId21"/>
          <w:pgSz w:w="11899" w:h="16838" w:code="9"/>
          <w:pgMar w:top="1134" w:right="1134" w:bottom="1134" w:left="1134" w:header="340" w:footer="340" w:gutter="0"/>
          <w:pgNumType w:start="1"/>
          <w:cols w:space="708"/>
          <w:docGrid w:linePitch="326"/>
        </w:sectPr>
      </w:pPr>
      <w:bookmarkStart w:id="11" w:name="_Toc522629664"/>
      <w:bookmarkStart w:id="12" w:name="_Toc51079263"/>
    </w:p>
    <w:p w14:paraId="01D0EB7D" w14:textId="77777777" w:rsidR="00BC12F4" w:rsidRDefault="00B5059E" w:rsidP="009B37CB">
      <w:pPr>
        <w:pStyle w:val="Heading1"/>
      </w:pPr>
      <w:bookmarkStart w:id="13" w:name="_Toc65697826"/>
      <w:bookmarkStart w:id="14" w:name="_Toc65697870"/>
      <w:bookmarkStart w:id="15" w:name="_Toc66392321"/>
      <w:bookmarkStart w:id="16" w:name="_Toc66450356"/>
      <w:bookmarkStart w:id="17" w:name="_Toc66450868"/>
      <w:bookmarkStart w:id="18" w:name="_Toc65697827"/>
      <w:bookmarkStart w:id="19" w:name="_Toc65697871"/>
      <w:bookmarkStart w:id="20" w:name="_Toc66392322"/>
      <w:bookmarkStart w:id="21" w:name="_Toc66450357"/>
      <w:bookmarkStart w:id="22" w:name="_Toc66450869"/>
      <w:bookmarkStart w:id="23" w:name="_Toc75438375"/>
      <w:bookmarkEnd w:id="11"/>
      <w:bookmarkEnd w:id="12"/>
      <w:bookmarkEnd w:id="13"/>
      <w:bookmarkEnd w:id="14"/>
      <w:bookmarkEnd w:id="15"/>
      <w:bookmarkEnd w:id="16"/>
      <w:bookmarkEnd w:id="17"/>
      <w:bookmarkEnd w:id="18"/>
      <w:bookmarkEnd w:id="19"/>
      <w:bookmarkEnd w:id="20"/>
      <w:bookmarkEnd w:id="21"/>
      <w:bookmarkEnd w:id="22"/>
      <w:r>
        <w:t>Actions to Improve Air Quality</w:t>
      </w:r>
      <w:bookmarkStart w:id="24" w:name="_Ref67921876"/>
      <w:bookmarkStart w:id="25" w:name="_Ref67922020"/>
      <w:bookmarkStart w:id="26" w:name="_Toc522629667"/>
      <w:bookmarkStart w:id="27" w:name="_Toc51079264"/>
      <w:bookmarkStart w:id="28" w:name="_Toc522629665"/>
      <w:bookmarkEnd w:id="23"/>
    </w:p>
    <w:p w14:paraId="156EB40D" w14:textId="5E6FCB23" w:rsidR="00EC5AA4" w:rsidRPr="00176F57" w:rsidRDefault="00646558" w:rsidP="00BC12F4">
      <w:pPr>
        <w:pStyle w:val="Heading1"/>
        <w:numPr>
          <w:ilvl w:val="0"/>
          <w:numId w:val="0"/>
        </w:numPr>
      </w:pPr>
      <w:bookmarkStart w:id="29" w:name="_Toc75438376"/>
      <w:r>
        <w:t xml:space="preserve">2.1 </w:t>
      </w:r>
      <w:r w:rsidR="00EC5AA4">
        <w:t>Air Quality Management Areas</w:t>
      </w:r>
      <w:bookmarkEnd w:id="24"/>
      <w:bookmarkEnd w:id="25"/>
      <w:bookmarkEnd w:id="29"/>
    </w:p>
    <w:p w14:paraId="39231FDE" w14:textId="77777777" w:rsidR="00E03D50" w:rsidRDefault="00E03D50" w:rsidP="00E03D50">
      <w:pPr>
        <w:pStyle w:val="Style1"/>
      </w:pPr>
      <w:bookmarkStart w:id="30" w:name="_Toc473641178"/>
      <w:bookmarkStart w:id="31" w:name="_Toc522629669"/>
      <w:bookmarkStart w:id="32" w:name="_Toc51079269"/>
      <w:r>
        <w:t>Air Quality Management Areas (AQMAs) are declared when there is an exceedance or likely exceedance of an air quality objective. After declaration, the authority must prepare an Air Quality Action Plan (AQAP) within 12-18 months setting out measures it intends to put in place in pursuit of compliance with the objectives.</w:t>
      </w:r>
    </w:p>
    <w:p w14:paraId="1BF6F983" w14:textId="77777777" w:rsidR="00BC12F4" w:rsidRDefault="00E03D50" w:rsidP="00E03D50">
      <w:pPr>
        <w:pStyle w:val="Style1"/>
      </w:pPr>
      <w:r>
        <w:t xml:space="preserve">A summary of AQMAs declared by </w:t>
      </w:r>
      <w:r w:rsidRPr="00F304EE">
        <w:t xml:space="preserve">South Tyneside Council </w:t>
      </w:r>
      <w:r>
        <w:t>can be found in</w:t>
      </w:r>
      <w:r w:rsidR="004D104E">
        <w:t xml:space="preserve"> Table 2.1</w:t>
      </w:r>
      <w:r>
        <w:t xml:space="preserve">. </w:t>
      </w:r>
    </w:p>
    <w:p w14:paraId="138A4B50" w14:textId="557F9EAB" w:rsidR="00E03D50" w:rsidRDefault="00E03D50" w:rsidP="00E03D50">
      <w:pPr>
        <w:pStyle w:val="Style1"/>
      </w:pPr>
      <w:r w:rsidRPr="008603A5">
        <w:t xml:space="preserve">Further information related to declared or revoked AQMAs, including maps of AQMA boundaries are available </w:t>
      </w:r>
      <w:r w:rsidRPr="002068F1">
        <w:t>online at</w:t>
      </w:r>
      <w:r w:rsidRPr="002068F1">
        <w:rPr>
          <w:color w:val="FF0000"/>
        </w:rPr>
        <w:t xml:space="preserve"> </w:t>
      </w:r>
      <w:hyperlink r:id="rId22" w:history="1">
        <w:r w:rsidRPr="00EE243B">
          <w:rPr>
            <w:rStyle w:val="Hyperlink"/>
          </w:rPr>
          <w:t>https://uk-air.defra.gov.uk/aqma/local-authorities?la_id=251</w:t>
        </w:r>
      </w:hyperlink>
      <w:r>
        <w:t xml:space="preserve">  Alternatively see </w:t>
      </w:r>
      <w:hyperlink w:anchor="_Appendix_E:_Map(s)" w:history="1">
        <w:r w:rsidR="000716CA" w:rsidRPr="000716CA">
          <w:rPr>
            <w:rStyle w:val="Hyperlink"/>
          </w:rPr>
          <w:t>Appendix D</w:t>
        </w:r>
      </w:hyperlink>
      <w:r w:rsidR="000716CA">
        <w:t xml:space="preserve"> </w:t>
      </w:r>
      <w:r>
        <w:t>which provides for a map of air quality monitoring locations in relation to the AQMA(s).</w:t>
      </w:r>
    </w:p>
    <w:p w14:paraId="3B77F05D" w14:textId="11E6F510" w:rsidR="00E03D50" w:rsidRDefault="00E03D50" w:rsidP="00E03D50">
      <w:pPr>
        <w:pStyle w:val="Style1"/>
        <w:jc w:val="both"/>
      </w:pPr>
      <w:r>
        <w:t xml:space="preserve">There has been continued compliance with national air quality objective levels for nitrogen dioxide at Lindisfarne Roundabout/ Leam Lane and at the Boldon Lane/Stanhope Road AQMA’s.  Continued compliance has been demonstrated in the last five years of continuous </w:t>
      </w:r>
      <w:r w:rsidR="00140935">
        <w:t>and non-continuous monitoring</w:t>
      </w:r>
      <w:r>
        <w:t xml:space="preserve"> </w:t>
      </w:r>
      <w:r w:rsidR="00140935">
        <w:t>data.</w:t>
      </w:r>
      <w:r>
        <w:t xml:space="preserve"> Appendix D: Maps of Monitoring locations and AQMA’S, provides a map of air quality monitoring locations.</w:t>
      </w:r>
    </w:p>
    <w:p w14:paraId="64543436" w14:textId="7B22E2DE" w:rsidR="00140935" w:rsidRDefault="00140935" w:rsidP="00E03D50">
      <w:pPr>
        <w:pStyle w:val="Style1"/>
        <w:jc w:val="both"/>
      </w:pPr>
    </w:p>
    <w:p w14:paraId="04665304" w14:textId="31224FB6" w:rsidR="00140935" w:rsidRDefault="00140935" w:rsidP="00E03D50">
      <w:pPr>
        <w:pStyle w:val="Style1"/>
        <w:jc w:val="both"/>
      </w:pPr>
    </w:p>
    <w:p w14:paraId="0C58D894" w14:textId="477968FA" w:rsidR="00140935" w:rsidRDefault="00140935" w:rsidP="00E03D50">
      <w:pPr>
        <w:pStyle w:val="Style1"/>
        <w:jc w:val="both"/>
      </w:pPr>
    </w:p>
    <w:p w14:paraId="17BD160A" w14:textId="4C034198" w:rsidR="00140935" w:rsidRDefault="00140935" w:rsidP="00E03D50">
      <w:pPr>
        <w:pStyle w:val="Style1"/>
        <w:jc w:val="both"/>
      </w:pPr>
    </w:p>
    <w:p w14:paraId="33F83465" w14:textId="53FEC7CE" w:rsidR="00140935" w:rsidRDefault="00140935" w:rsidP="00E03D50">
      <w:pPr>
        <w:pStyle w:val="Style1"/>
        <w:jc w:val="both"/>
      </w:pPr>
    </w:p>
    <w:p w14:paraId="7043FDC1" w14:textId="7B6ABFBC" w:rsidR="00140935" w:rsidRDefault="00140935" w:rsidP="00E03D50">
      <w:pPr>
        <w:pStyle w:val="Style1"/>
        <w:jc w:val="both"/>
      </w:pPr>
    </w:p>
    <w:p w14:paraId="494A7B6B" w14:textId="496D95E8" w:rsidR="00140935" w:rsidRDefault="00140935" w:rsidP="00E03D50">
      <w:pPr>
        <w:pStyle w:val="Style1"/>
        <w:jc w:val="both"/>
      </w:pPr>
    </w:p>
    <w:p w14:paraId="0C1CBD8D" w14:textId="45A07CA6" w:rsidR="00140935" w:rsidRDefault="00140935" w:rsidP="00E03D50">
      <w:pPr>
        <w:pStyle w:val="Style1"/>
        <w:jc w:val="both"/>
      </w:pPr>
    </w:p>
    <w:p w14:paraId="38DACF83" w14:textId="3D579AF3" w:rsidR="00140935" w:rsidRDefault="00140935" w:rsidP="00E03D50">
      <w:pPr>
        <w:pStyle w:val="Style1"/>
        <w:jc w:val="both"/>
      </w:pPr>
    </w:p>
    <w:p w14:paraId="64E02541" w14:textId="06022BAC" w:rsidR="00140935" w:rsidRDefault="00140935" w:rsidP="00E03D50">
      <w:pPr>
        <w:pStyle w:val="Style1"/>
        <w:jc w:val="both"/>
      </w:pPr>
    </w:p>
    <w:p w14:paraId="1C521F08" w14:textId="77777777" w:rsidR="00140935" w:rsidRDefault="00140935" w:rsidP="00E03D50">
      <w:pPr>
        <w:pStyle w:val="Style1"/>
        <w:jc w:val="both"/>
      </w:pPr>
    </w:p>
    <w:p w14:paraId="0DF80B45" w14:textId="2447F9F9" w:rsidR="000D0488" w:rsidRPr="000D0488" w:rsidRDefault="000D0488" w:rsidP="00E03D50">
      <w:pPr>
        <w:pStyle w:val="Style1"/>
        <w:jc w:val="both"/>
        <w:rPr>
          <w:b/>
          <w:bCs/>
        </w:rPr>
      </w:pPr>
      <w:r w:rsidRPr="000D0488">
        <w:rPr>
          <w:b/>
          <w:bCs/>
        </w:rPr>
        <w:t>Boldon Lane AQMA</w:t>
      </w:r>
    </w:p>
    <w:p w14:paraId="7D351591" w14:textId="1EA8D6AB" w:rsidR="00715CE1" w:rsidRDefault="00310CA4" w:rsidP="00E03D50">
      <w:pPr>
        <w:pStyle w:val="Style1"/>
        <w:jc w:val="both"/>
      </w:pPr>
      <w:r>
        <w:t>Figure</w:t>
      </w:r>
      <w:r w:rsidR="002E7204">
        <w:t xml:space="preserve"> A1</w:t>
      </w:r>
    </w:p>
    <w:p w14:paraId="00CAB7FB" w14:textId="6B9BFC31" w:rsidR="00F23D54" w:rsidRDefault="008A0842" w:rsidP="008A0842">
      <w:pPr>
        <w:jc w:val="center"/>
        <w:rPr>
          <w:color w:val="FF0000"/>
        </w:rPr>
      </w:pPr>
      <w:r>
        <w:rPr>
          <w:noProof/>
          <w:color w:val="FF0000"/>
        </w:rPr>
        <w:drawing>
          <wp:inline distT="0" distB="0" distL="0" distR="0" wp14:anchorId="2C3603FF" wp14:editId="596B67E5">
            <wp:extent cx="5365115" cy="343217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5115" cy="3432175"/>
                    </a:xfrm>
                    <a:prstGeom prst="rect">
                      <a:avLst/>
                    </a:prstGeom>
                    <a:noFill/>
                  </pic:spPr>
                </pic:pic>
              </a:graphicData>
            </a:graphic>
          </wp:inline>
        </w:drawing>
      </w:r>
    </w:p>
    <w:p w14:paraId="0F647589" w14:textId="608E7FAA" w:rsidR="0000052B" w:rsidRDefault="0000052B" w:rsidP="0000052B">
      <w:pPr>
        <w:pStyle w:val="Style1"/>
        <w:jc w:val="both"/>
        <w:rPr>
          <w:bCs/>
          <w:szCs w:val="20"/>
        </w:rPr>
      </w:pPr>
      <w:r>
        <w:rPr>
          <w:bCs/>
          <w:szCs w:val="20"/>
        </w:rPr>
        <w:t xml:space="preserve">The figure above </w:t>
      </w:r>
      <w:r>
        <w:t xml:space="preserve">shows the results of continuous monitoring and non-continuous monitoring data within the Boldon Lane. It can be seen that </w:t>
      </w:r>
      <w:r>
        <w:rPr>
          <w:noProof/>
        </w:rPr>
        <w:t>NO</w:t>
      </w:r>
      <w:r>
        <w:rPr>
          <w:noProof/>
          <w:vertAlign w:val="subscript"/>
        </w:rPr>
        <w:t>2</w:t>
      </w:r>
      <w:r>
        <w:rPr>
          <w:noProof/>
        </w:rPr>
        <w:t xml:space="preserve"> levels have</w:t>
      </w:r>
      <w:r w:rsidR="00EA1AD8">
        <w:rPr>
          <w:noProof/>
        </w:rPr>
        <w:t xml:space="preserve"> significantly</w:t>
      </w:r>
      <w:r>
        <w:rPr>
          <w:noProof/>
        </w:rPr>
        <w:t xml:space="preserve"> decreased by </w:t>
      </w:r>
      <w:r w:rsidR="00EA1AD8">
        <w:rPr>
          <w:noProof/>
        </w:rPr>
        <w:t>6</w:t>
      </w:r>
      <w:r>
        <w:rPr>
          <w:rFonts w:cs="Arial"/>
          <w:noProof/>
        </w:rPr>
        <w:t>µ</w:t>
      </w:r>
      <w:r>
        <w:rPr>
          <w:noProof/>
        </w:rPr>
        <w:t>g/m</w:t>
      </w:r>
      <w:r>
        <w:rPr>
          <w:rFonts w:cs="Arial"/>
          <w:noProof/>
        </w:rPr>
        <w:t>³</w:t>
      </w:r>
      <w:r>
        <w:rPr>
          <w:noProof/>
        </w:rPr>
        <w:t xml:space="preserve"> at CM1 from 201</w:t>
      </w:r>
      <w:r w:rsidR="00EA1AD8">
        <w:rPr>
          <w:noProof/>
        </w:rPr>
        <w:t>9</w:t>
      </w:r>
      <w:r>
        <w:rPr>
          <w:noProof/>
        </w:rPr>
        <w:t xml:space="preserve"> with a concentration of </w:t>
      </w:r>
      <w:r w:rsidR="00EA1AD8">
        <w:rPr>
          <w:noProof/>
        </w:rPr>
        <w:t>16</w:t>
      </w:r>
      <w:r w:rsidRPr="00955C78">
        <w:rPr>
          <w:rFonts w:cs="Arial"/>
          <w:noProof/>
        </w:rPr>
        <w:t xml:space="preserve"> </w:t>
      </w:r>
      <w:r>
        <w:rPr>
          <w:rFonts w:cs="Arial"/>
          <w:noProof/>
        </w:rPr>
        <w:t>µ</w:t>
      </w:r>
      <w:r>
        <w:rPr>
          <w:noProof/>
        </w:rPr>
        <w:t>g/m</w:t>
      </w:r>
      <w:r>
        <w:rPr>
          <w:rFonts w:cs="Arial"/>
          <w:noProof/>
        </w:rPr>
        <w:t>³</w:t>
      </w:r>
      <w:r>
        <w:rPr>
          <w:noProof/>
        </w:rPr>
        <w:t xml:space="preserve">. </w:t>
      </w:r>
      <w:r w:rsidR="009147D9">
        <w:rPr>
          <w:noProof/>
        </w:rPr>
        <w:t>All three non continuous monitoring diffusion tubes have shown significant decreases in concentrations in 2020.</w:t>
      </w:r>
    </w:p>
    <w:p w14:paraId="13641363" w14:textId="09E32950" w:rsidR="00FD6727" w:rsidRDefault="00280FC0" w:rsidP="00D418CF">
      <w:pPr>
        <w:jc w:val="center"/>
      </w:pPr>
      <w:r>
        <w:rPr>
          <w:noProof/>
        </w:rPr>
        <w:drawing>
          <wp:inline distT="0" distB="0" distL="0" distR="0" wp14:anchorId="1F96B423" wp14:editId="71F127D9">
            <wp:extent cx="5351228" cy="360108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35172" cy="3657575"/>
                    </a:xfrm>
                    <a:prstGeom prst="rect">
                      <a:avLst/>
                    </a:prstGeom>
                    <a:noFill/>
                  </pic:spPr>
                </pic:pic>
              </a:graphicData>
            </a:graphic>
          </wp:inline>
        </w:drawing>
      </w:r>
    </w:p>
    <w:p w14:paraId="247ED90C" w14:textId="77777777" w:rsidR="00651D25" w:rsidRDefault="00651D25" w:rsidP="008A0842"/>
    <w:p w14:paraId="31596698" w14:textId="6F084D99" w:rsidR="00651D25" w:rsidRPr="00E551A9" w:rsidRDefault="00651D25" w:rsidP="00651D25">
      <w:pPr>
        <w:pStyle w:val="Style1"/>
        <w:jc w:val="both"/>
        <w:rPr>
          <w:rFonts w:cs="Arial"/>
          <w:noProof/>
        </w:rPr>
      </w:pPr>
      <w:r>
        <w:rPr>
          <w:bCs/>
          <w:szCs w:val="20"/>
        </w:rPr>
        <w:t xml:space="preserve">Figure A.1.2 – </w:t>
      </w:r>
      <w:r w:rsidR="00D42D3D" w:rsidRPr="00D42D3D">
        <w:rPr>
          <w:bCs/>
          <w:szCs w:val="20"/>
        </w:rPr>
        <w:t>Lindisfarne Roundabout/Leam Lane AQMA</w:t>
      </w:r>
      <w:r w:rsidR="00D42D3D">
        <w:rPr>
          <w:bCs/>
          <w:szCs w:val="20"/>
        </w:rPr>
        <w:t xml:space="preserve"> </w:t>
      </w:r>
      <w:r>
        <w:t>shows all levels remain well below the national annual average objective level for NO</w:t>
      </w:r>
      <w:r>
        <w:rPr>
          <w:vertAlign w:val="subscript"/>
        </w:rPr>
        <w:t>2.</w:t>
      </w:r>
      <w:r>
        <w:rPr>
          <w:noProof/>
        </w:rPr>
        <w:t xml:space="preserve"> There was an decrease of 3</w:t>
      </w:r>
      <w:r>
        <w:rPr>
          <w:rFonts w:cs="Arial"/>
          <w:noProof/>
        </w:rPr>
        <w:t xml:space="preserve"> µ</w:t>
      </w:r>
      <w:r>
        <w:rPr>
          <w:noProof/>
        </w:rPr>
        <w:t>g/m</w:t>
      </w:r>
      <w:r>
        <w:rPr>
          <w:rFonts w:cs="Arial"/>
          <w:noProof/>
        </w:rPr>
        <w:t xml:space="preserve">³ to annual mean </w:t>
      </w:r>
      <w:r>
        <w:rPr>
          <w:noProof/>
        </w:rPr>
        <w:t>NO</w:t>
      </w:r>
      <w:r>
        <w:rPr>
          <w:noProof/>
          <w:vertAlign w:val="subscript"/>
        </w:rPr>
        <w:t>2</w:t>
      </w:r>
      <w:r>
        <w:rPr>
          <w:noProof/>
        </w:rPr>
        <w:t xml:space="preserve"> levels at Edinburgh Road continuous monitoring data in 20</w:t>
      </w:r>
      <w:r w:rsidR="001C2524">
        <w:rPr>
          <w:noProof/>
        </w:rPr>
        <w:t>20</w:t>
      </w:r>
      <w:r>
        <w:rPr>
          <w:noProof/>
        </w:rPr>
        <w:t xml:space="preserve"> from 20</w:t>
      </w:r>
      <w:r w:rsidR="001C2524">
        <w:rPr>
          <w:noProof/>
        </w:rPr>
        <w:t>19</w:t>
      </w:r>
      <w:r>
        <w:rPr>
          <w:noProof/>
        </w:rPr>
        <w:t xml:space="preserve"> concentrations.  Diffusion tube data has been gathered over the past </w:t>
      </w:r>
      <w:r w:rsidR="001C2524">
        <w:rPr>
          <w:noProof/>
        </w:rPr>
        <w:t>five</w:t>
      </w:r>
      <w:r>
        <w:rPr>
          <w:noProof/>
        </w:rPr>
        <w:t xml:space="preserve"> years, concentrations have remained below the target concentration of 40</w:t>
      </w:r>
      <w:r>
        <w:rPr>
          <w:rFonts w:cs="Arial"/>
          <w:noProof/>
        </w:rPr>
        <w:t xml:space="preserve"> µ</w:t>
      </w:r>
      <w:r>
        <w:rPr>
          <w:noProof/>
        </w:rPr>
        <w:t>g/m</w:t>
      </w:r>
      <w:r>
        <w:rPr>
          <w:rFonts w:cs="Arial"/>
          <w:noProof/>
        </w:rPr>
        <w:t xml:space="preserve">³. There is a </w:t>
      </w:r>
      <w:r w:rsidR="001C2524">
        <w:rPr>
          <w:rFonts w:cs="Arial"/>
          <w:noProof/>
        </w:rPr>
        <w:t xml:space="preserve">clear </w:t>
      </w:r>
      <w:r>
        <w:rPr>
          <w:rFonts w:cs="Arial"/>
          <w:noProof/>
        </w:rPr>
        <w:t>reduction in NO</w:t>
      </w:r>
      <w:r w:rsidRPr="00AE7688">
        <w:rPr>
          <w:rFonts w:cs="Arial"/>
          <w:noProof/>
          <w:vertAlign w:val="subscript"/>
        </w:rPr>
        <w:t>2</w:t>
      </w:r>
      <w:r>
        <w:rPr>
          <w:rFonts w:cs="Arial"/>
          <w:noProof/>
        </w:rPr>
        <w:t xml:space="preserve"> concentrations at</w:t>
      </w:r>
      <w:r w:rsidR="00E551A9">
        <w:rPr>
          <w:rFonts w:cs="Arial"/>
          <w:noProof/>
        </w:rPr>
        <w:t xml:space="preserve"> all diffusion tube locations.</w:t>
      </w:r>
      <w:r>
        <w:rPr>
          <w:rFonts w:cs="Arial"/>
          <w:noProof/>
        </w:rPr>
        <w:t xml:space="preserve">The highest concentration recorded was </w:t>
      </w:r>
      <w:r w:rsidR="00B30AE6">
        <w:rPr>
          <w:rFonts w:cs="Arial"/>
          <w:noProof/>
        </w:rPr>
        <w:t>2</w:t>
      </w:r>
      <w:r w:rsidR="00D83D38">
        <w:rPr>
          <w:rFonts w:cs="Arial"/>
          <w:noProof/>
        </w:rPr>
        <w:t>3</w:t>
      </w:r>
      <w:r w:rsidR="00B30AE6">
        <w:rPr>
          <w:rFonts w:cs="Arial"/>
          <w:noProof/>
        </w:rPr>
        <w:t>.</w:t>
      </w:r>
      <w:r w:rsidR="00D83D38">
        <w:rPr>
          <w:rFonts w:cs="Arial"/>
          <w:noProof/>
        </w:rPr>
        <w:t>2</w:t>
      </w:r>
      <w:r>
        <w:rPr>
          <w:rFonts w:cs="Arial"/>
          <w:noProof/>
        </w:rPr>
        <w:t xml:space="preserve"> µ</w:t>
      </w:r>
      <w:r>
        <w:rPr>
          <w:noProof/>
        </w:rPr>
        <w:t>g/m</w:t>
      </w:r>
      <w:r>
        <w:rPr>
          <w:rFonts w:cs="Arial"/>
          <w:noProof/>
        </w:rPr>
        <w:t xml:space="preserve">³ from </w:t>
      </w:r>
      <w:r w:rsidR="00D83D38">
        <w:rPr>
          <w:rFonts w:cs="Arial"/>
          <w:noProof/>
        </w:rPr>
        <w:t>DT17</w:t>
      </w:r>
      <w:r>
        <w:rPr>
          <w:rFonts w:cs="Arial"/>
          <w:noProof/>
        </w:rPr>
        <w:t xml:space="preserve"> the concentration is down </w:t>
      </w:r>
      <w:r w:rsidR="00B30AE6">
        <w:rPr>
          <w:rFonts w:cs="Arial"/>
          <w:noProof/>
        </w:rPr>
        <w:t>8</w:t>
      </w:r>
      <w:r w:rsidRPr="00AE7688">
        <w:rPr>
          <w:rFonts w:cs="Arial"/>
          <w:noProof/>
        </w:rPr>
        <w:t xml:space="preserve"> </w:t>
      </w:r>
      <w:r>
        <w:rPr>
          <w:rFonts w:cs="Arial"/>
          <w:noProof/>
        </w:rPr>
        <w:t>µ</w:t>
      </w:r>
      <w:r>
        <w:rPr>
          <w:noProof/>
        </w:rPr>
        <w:t>g/m</w:t>
      </w:r>
      <w:r>
        <w:rPr>
          <w:rFonts w:cs="Arial"/>
          <w:noProof/>
        </w:rPr>
        <w:t xml:space="preserve">³ from last year. </w:t>
      </w:r>
    </w:p>
    <w:p w14:paraId="2C436CA1" w14:textId="22CCC3C3" w:rsidR="00651D25" w:rsidRPr="008A0842" w:rsidRDefault="00651D25" w:rsidP="008A0842">
      <w:pPr>
        <w:sectPr w:rsidR="00651D25" w:rsidRPr="008A0842" w:rsidSect="003172A5">
          <w:pgSz w:w="11899" w:h="16838" w:code="9"/>
          <w:pgMar w:top="1134" w:right="1134" w:bottom="1134" w:left="1134" w:header="340" w:footer="340" w:gutter="0"/>
          <w:cols w:space="708"/>
          <w:docGrid w:linePitch="326"/>
        </w:sectPr>
      </w:pPr>
    </w:p>
    <w:p w14:paraId="31AB3A3A" w14:textId="0BDD03C1" w:rsidR="00B36108" w:rsidRDefault="00B36108" w:rsidP="00400B0F">
      <w:pPr>
        <w:pStyle w:val="Caption"/>
      </w:pPr>
      <w:bookmarkStart w:id="33" w:name="_Ref55231768"/>
      <w:bookmarkStart w:id="34" w:name="_Toc67997494"/>
      <w:r>
        <w:t xml:space="preserve">Table </w:t>
      </w:r>
      <w:r w:rsidR="00742944">
        <w:rPr>
          <w:color w:val="2B579A"/>
          <w:shd w:val="clear" w:color="auto" w:fill="E6E6E6"/>
        </w:rPr>
        <w:fldChar w:fldCharType="begin"/>
      </w:r>
      <w:r w:rsidR="00742944">
        <w:rPr>
          <w:noProof/>
        </w:rPr>
        <w:instrText xml:space="preserve"> STYLEREF 1 \s </w:instrText>
      </w:r>
      <w:r w:rsidR="00742944">
        <w:rPr>
          <w:color w:val="2B579A"/>
          <w:shd w:val="clear" w:color="auto" w:fill="E6E6E6"/>
        </w:rPr>
        <w:fldChar w:fldCharType="separate"/>
      </w:r>
      <w:r w:rsidR="004D104E">
        <w:rPr>
          <w:noProof/>
        </w:rPr>
        <w:t>2</w:t>
      </w:r>
      <w:r w:rsidR="00742944">
        <w:rPr>
          <w:color w:val="2B579A"/>
          <w:shd w:val="clear" w:color="auto" w:fill="E6E6E6"/>
        </w:rPr>
        <w:fldChar w:fldCharType="end"/>
      </w:r>
      <w:r>
        <w:t>.</w:t>
      </w:r>
      <w:r w:rsidR="00742944">
        <w:rPr>
          <w:color w:val="2B579A"/>
          <w:shd w:val="clear" w:color="auto" w:fill="E6E6E6"/>
        </w:rPr>
        <w:fldChar w:fldCharType="begin"/>
      </w:r>
      <w:r w:rsidR="00742944">
        <w:rPr>
          <w:noProof/>
        </w:rPr>
        <w:instrText xml:space="preserve"> SEQ Table \* ARABIC \s 1 </w:instrText>
      </w:r>
      <w:r w:rsidR="00742944">
        <w:rPr>
          <w:color w:val="2B579A"/>
          <w:shd w:val="clear" w:color="auto" w:fill="E6E6E6"/>
        </w:rPr>
        <w:fldChar w:fldCharType="separate"/>
      </w:r>
      <w:r w:rsidR="004D104E">
        <w:rPr>
          <w:noProof/>
        </w:rPr>
        <w:t>1</w:t>
      </w:r>
      <w:r w:rsidR="00742944">
        <w:rPr>
          <w:color w:val="2B579A"/>
          <w:shd w:val="clear" w:color="auto" w:fill="E6E6E6"/>
        </w:rPr>
        <w:fldChar w:fldCharType="end"/>
      </w:r>
      <w:bookmarkEnd w:id="33"/>
      <w:r>
        <w:t xml:space="preserve"> – </w:t>
      </w:r>
      <w:r w:rsidRPr="00056752">
        <w:t>Declared Air Quality Management Area</w:t>
      </w:r>
      <w:r>
        <w:t>s</w:t>
      </w:r>
      <w:bookmarkEnd w:id="34"/>
    </w:p>
    <w:tbl>
      <w:tblPr>
        <w:tblStyle w:val="TableStyle4"/>
        <w:tblW w:w="0" w:type="auto"/>
        <w:tblLayout w:type="fixed"/>
        <w:tblLook w:val="04A0" w:firstRow="1" w:lastRow="0" w:firstColumn="1" w:lastColumn="0" w:noHBand="0" w:noVBand="1"/>
        <w:tblCaption w:val="Declared Air Quality Management Areas"/>
        <w:tblDescription w:val="The table shows the current AQMAs that are designated within the council."/>
      </w:tblPr>
      <w:tblGrid>
        <w:gridCol w:w="1326"/>
        <w:gridCol w:w="1327"/>
        <w:gridCol w:w="1272"/>
        <w:gridCol w:w="1932"/>
        <w:gridCol w:w="1265"/>
        <w:gridCol w:w="1416"/>
        <w:gridCol w:w="9"/>
        <w:gridCol w:w="1408"/>
        <w:gridCol w:w="1664"/>
        <w:gridCol w:w="2941"/>
      </w:tblGrid>
      <w:tr w:rsidR="0080530F" w:rsidRPr="00116356" w14:paraId="25EDCCF2" w14:textId="77777777" w:rsidTr="00AA19BF">
        <w:trPr>
          <w:cnfStyle w:val="100000000000" w:firstRow="1" w:lastRow="0" w:firstColumn="0" w:lastColumn="0" w:oddVBand="0" w:evenVBand="0" w:oddHBand="0" w:evenHBand="0" w:firstRowFirstColumn="0" w:firstRowLastColumn="0" w:lastRowFirstColumn="0" w:lastRowLastColumn="0"/>
          <w:trHeight w:val="1145"/>
          <w:tblHeader/>
        </w:trPr>
        <w:tc>
          <w:tcPr>
            <w:cnfStyle w:val="001000000000" w:firstRow="0" w:lastRow="0" w:firstColumn="1" w:lastColumn="0" w:oddVBand="0" w:evenVBand="0" w:oddHBand="0" w:evenHBand="0" w:firstRowFirstColumn="0" w:firstRowLastColumn="0" w:lastRowFirstColumn="0" w:lastRowLastColumn="0"/>
            <w:tcW w:w="1326" w:type="dxa"/>
          </w:tcPr>
          <w:p w14:paraId="10E57F77" w14:textId="77777777" w:rsidR="0087097C" w:rsidRPr="00090C17" w:rsidRDefault="0087097C" w:rsidP="00E665C2">
            <w:pPr>
              <w:spacing w:before="0" w:after="0" w:line="240" w:lineRule="auto"/>
              <w:rPr>
                <w:rFonts w:asciiTheme="minorHAnsi" w:hAnsiTheme="minorHAnsi" w:cstheme="minorHAnsi"/>
                <w:sz w:val="20"/>
                <w:szCs w:val="20"/>
              </w:rPr>
            </w:pPr>
            <w:r w:rsidRPr="00090C17">
              <w:rPr>
                <w:rFonts w:asciiTheme="minorHAnsi" w:hAnsiTheme="minorHAnsi" w:cstheme="minorHAnsi"/>
                <w:sz w:val="20"/>
                <w:szCs w:val="20"/>
              </w:rPr>
              <w:t>AQMA Name</w:t>
            </w:r>
          </w:p>
        </w:tc>
        <w:tc>
          <w:tcPr>
            <w:tcW w:w="1327" w:type="dxa"/>
          </w:tcPr>
          <w:p w14:paraId="4F57BB24" w14:textId="77777777" w:rsidR="0087097C" w:rsidRPr="00090C17" w:rsidRDefault="0087097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90C17">
              <w:rPr>
                <w:rFonts w:asciiTheme="minorHAnsi" w:hAnsiTheme="minorHAnsi" w:cstheme="minorHAnsi"/>
                <w:sz w:val="20"/>
                <w:szCs w:val="20"/>
              </w:rPr>
              <w:t>Date of Declaration</w:t>
            </w:r>
          </w:p>
        </w:tc>
        <w:tc>
          <w:tcPr>
            <w:tcW w:w="1272" w:type="dxa"/>
          </w:tcPr>
          <w:p w14:paraId="73B335C8" w14:textId="77777777" w:rsidR="0087097C" w:rsidRPr="00090C17" w:rsidRDefault="0087097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90C17">
              <w:rPr>
                <w:rFonts w:asciiTheme="minorHAnsi" w:hAnsiTheme="minorHAnsi" w:cstheme="minorHAnsi"/>
                <w:sz w:val="20"/>
                <w:szCs w:val="20"/>
              </w:rPr>
              <w:t>Pollutants and Air Quality Objectives</w:t>
            </w:r>
          </w:p>
        </w:tc>
        <w:tc>
          <w:tcPr>
            <w:tcW w:w="1932" w:type="dxa"/>
          </w:tcPr>
          <w:p w14:paraId="3D233477" w14:textId="68F17CC5" w:rsidR="0087097C" w:rsidRPr="00090C17" w:rsidRDefault="0087097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90C17">
              <w:rPr>
                <w:rFonts w:asciiTheme="minorHAnsi" w:hAnsiTheme="minorHAnsi" w:cstheme="minorHAnsi"/>
                <w:sz w:val="20"/>
                <w:szCs w:val="20"/>
              </w:rPr>
              <w:t>One Line Description</w:t>
            </w:r>
          </w:p>
        </w:tc>
        <w:tc>
          <w:tcPr>
            <w:tcW w:w="1265" w:type="dxa"/>
          </w:tcPr>
          <w:p w14:paraId="0AA087FC" w14:textId="77777777" w:rsidR="0087097C" w:rsidRPr="00090C17" w:rsidRDefault="0087097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90C17">
              <w:rPr>
                <w:rFonts w:asciiTheme="minorHAnsi" w:hAnsiTheme="minorHAnsi" w:cstheme="minorHAnsi"/>
                <w:sz w:val="20"/>
                <w:szCs w:val="20"/>
              </w:rPr>
              <w:t>Is air quality in the AQMA influenced by roads controlled by Highways England?</w:t>
            </w:r>
          </w:p>
        </w:tc>
        <w:tc>
          <w:tcPr>
            <w:tcW w:w="1416" w:type="dxa"/>
          </w:tcPr>
          <w:p w14:paraId="404C1A18" w14:textId="06D09B9D" w:rsidR="0087097C" w:rsidRPr="00090C17" w:rsidRDefault="00090C17"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Level o</w:t>
            </w:r>
            <w:r w:rsidR="0087097C" w:rsidRPr="00090C17">
              <w:rPr>
                <w:rFonts w:asciiTheme="minorHAnsi" w:hAnsiTheme="minorHAnsi" w:cstheme="minorHAnsi"/>
                <w:sz w:val="20"/>
                <w:szCs w:val="20"/>
              </w:rPr>
              <w:t>f Exceedance: Declaration</w:t>
            </w:r>
          </w:p>
        </w:tc>
        <w:tc>
          <w:tcPr>
            <w:tcW w:w="1417" w:type="dxa"/>
            <w:gridSpan w:val="2"/>
          </w:tcPr>
          <w:p w14:paraId="4B8D7E5A" w14:textId="64F8068A" w:rsidR="0087097C" w:rsidRPr="00090C17" w:rsidRDefault="00090C17"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Level o</w:t>
            </w:r>
            <w:r w:rsidR="0087097C" w:rsidRPr="00090C17">
              <w:rPr>
                <w:rFonts w:asciiTheme="minorHAnsi" w:hAnsiTheme="minorHAnsi" w:cstheme="minorHAnsi"/>
                <w:sz w:val="20"/>
                <w:szCs w:val="20"/>
              </w:rPr>
              <w:t>f Exceedance: Current Year</w:t>
            </w:r>
          </w:p>
        </w:tc>
        <w:tc>
          <w:tcPr>
            <w:tcW w:w="1664" w:type="dxa"/>
          </w:tcPr>
          <w:p w14:paraId="30045F78" w14:textId="387876A1" w:rsidR="0087097C" w:rsidRPr="00090C17" w:rsidRDefault="00C500B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Name and </w:t>
            </w:r>
            <w:r w:rsidR="0087097C" w:rsidRPr="00090C17">
              <w:rPr>
                <w:rFonts w:asciiTheme="minorHAnsi" w:hAnsiTheme="minorHAnsi" w:cstheme="minorHAnsi"/>
                <w:sz w:val="20"/>
                <w:szCs w:val="20"/>
              </w:rPr>
              <w:t>Date of AQAP Publication</w:t>
            </w:r>
          </w:p>
        </w:tc>
        <w:tc>
          <w:tcPr>
            <w:tcW w:w="2941" w:type="dxa"/>
          </w:tcPr>
          <w:p w14:paraId="0E351831" w14:textId="1BB49778" w:rsidR="0087097C" w:rsidRPr="00090C17" w:rsidRDefault="0087097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90C17">
              <w:rPr>
                <w:rFonts w:asciiTheme="minorHAnsi" w:hAnsiTheme="minorHAnsi" w:cstheme="minorHAnsi"/>
                <w:sz w:val="20"/>
                <w:szCs w:val="20"/>
              </w:rPr>
              <w:t>Web Link to AQAP</w:t>
            </w:r>
          </w:p>
        </w:tc>
      </w:tr>
      <w:tr w:rsidR="008F45AF" w:rsidRPr="00116356" w14:paraId="3332C7BC" w14:textId="77777777" w:rsidTr="00AA19BF">
        <w:trPr>
          <w:trHeight w:val="2524"/>
        </w:trPr>
        <w:tc>
          <w:tcPr>
            <w:cnfStyle w:val="001000000000" w:firstRow="0" w:lastRow="0" w:firstColumn="1" w:lastColumn="0" w:oddVBand="0" w:evenVBand="0" w:oddHBand="0" w:evenHBand="0" w:firstRowFirstColumn="0" w:firstRowLastColumn="0" w:lastRowFirstColumn="0" w:lastRowLastColumn="0"/>
            <w:tcW w:w="1326" w:type="dxa"/>
          </w:tcPr>
          <w:p w14:paraId="21261B8B" w14:textId="68F27608" w:rsidR="008F45AF" w:rsidRPr="0047760A" w:rsidRDefault="00D5023C" w:rsidP="00E665C2">
            <w:pPr>
              <w:spacing w:before="0" w:after="0" w:line="240" w:lineRule="auto"/>
              <w:rPr>
                <w:rFonts w:asciiTheme="minorHAnsi" w:hAnsiTheme="minorHAnsi" w:cstheme="minorHAnsi"/>
                <w:sz w:val="20"/>
                <w:szCs w:val="20"/>
              </w:rPr>
            </w:pPr>
            <w:r w:rsidRPr="0047760A">
              <w:rPr>
                <w:rFonts w:asciiTheme="minorHAnsi" w:hAnsiTheme="minorHAnsi" w:cstheme="minorHAnsi"/>
                <w:sz w:val="20"/>
                <w:szCs w:val="20"/>
              </w:rPr>
              <w:t>Lindisfarne Roundabout/ Leam Lane</w:t>
            </w:r>
          </w:p>
        </w:tc>
        <w:tc>
          <w:tcPr>
            <w:tcW w:w="1327" w:type="dxa"/>
          </w:tcPr>
          <w:p w14:paraId="4DFB6056" w14:textId="27BBE922" w:rsidR="008F45AF" w:rsidRPr="0047760A" w:rsidRDefault="00D5023C"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7760A">
              <w:rPr>
                <w:rFonts w:asciiTheme="minorHAnsi" w:hAnsiTheme="minorHAnsi" w:cstheme="minorHAnsi"/>
                <w:sz w:val="20"/>
                <w:szCs w:val="20"/>
              </w:rPr>
              <w:t>1</w:t>
            </w:r>
            <w:r w:rsidRPr="0047760A">
              <w:rPr>
                <w:rFonts w:asciiTheme="minorHAnsi" w:hAnsiTheme="minorHAnsi" w:cstheme="minorHAnsi"/>
                <w:sz w:val="20"/>
                <w:szCs w:val="20"/>
                <w:vertAlign w:val="superscript"/>
              </w:rPr>
              <w:t>st</w:t>
            </w:r>
            <w:r w:rsidRPr="0047760A">
              <w:rPr>
                <w:rFonts w:asciiTheme="minorHAnsi" w:hAnsiTheme="minorHAnsi" w:cstheme="minorHAnsi"/>
                <w:sz w:val="20"/>
                <w:szCs w:val="20"/>
              </w:rPr>
              <w:t xml:space="preserve"> March 2006</w:t>
            </w:r>
          </w:p>
        </w:tc>
        <w:tc>
          <w:tcPr>
            <w:tcW w:w="1272" w:type="dxa"/>
          </w:tcPr>
          <w:p w14:paraId="3FABAFF7" w14:textId="2A455D47" w:rsidR="008F45AF" w:rsidRPr="0047760A" w:rsidRDefault="00D5023C"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7760A">
              <w:rPr>
                <w:rFonts w:asciiTheme="minorHAnsi" w:hAnsiTheme="minorHAnsi" w:cstheme="minorHAnsi"/>
                <w:sz w:val="20"/>
                <w:szCs w:val="20"/>
              </w:rPr>
              <w:t>NO2 Annual Mean</w:t>
            </w:r>
          </w:p>
        </w:tc>
        <w:tc>
          <w:tcPr>
            <w:tcW w:w="1932" w:type="dxa"/>
          </w:tcPr>
          <w:p w14:paraId="2FAC573C" w14:textId="77777777" w:rsidR="001E1831" w:rsidRPr="0047760A" w:rsidRDefault="001E1831" w:rsidP="001E183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47760A">
              <w:rPr>
                <w:rFonts w:cs="Arial"/>
                <w:szCs w:val="20"/>
              </w:rPr>
              <w:t>A number of properties around Lindisfarne roundabout, extending along Leam Lane and the A19</w:t>
            </w:r>
          </w:p>
          <w:p w14:paraId="388A5FB6" w14:textId="6F086234" w:rsidR="008F45AF" w:rsidRPr="0047760A" w:rsidRDefault="008F45AF"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265" w:type="dxa"/>
          </w:tcPr>
          <w:p w14:paraId="2F869FD0" w14:textId="03478D5E" w:rsidR="008F45AF" w:rsidRPr="0047760A" w:rsidRDefault="001E1831"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7760A">
              <w:rPr>
                <w:rFonts w:asciiTheme="minorHAnsi" w:hAnsiTheme="minorHAnsi" w:cstheme="minorHAnsi"/>
                <w:sz w:val="20"/>
                <w:szCs w:val="20"/>
              </w:rPr>
              <w:t>No</w:t>
            </w:r>
          </w:p>
        </w:tc>
        <w:tc>
          <w:tcPr>
            <w:tcW w:w="1425" w:type="dxa"/>
            <w:gridSpan w:val="2"/>
          </w:tcPr>
          <w:p w14:paraId="531700D4" w14:textId="49CA781A" w:rsidR="008F45AF" w:rsidRPr="0047760A" w:rsidRDefault="0047760A"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7760A">
              <w:rPr>
                <w:rFonts w:asciiTheme="minorHAnsi" w:hAnsiTheme="minorHAnsi" w:cstheme="minorHAnsi"/>
                <w:sz w:val="20"/>
                <w:szCs w:val="20"/>
              </w:rPr>
              <w:t>43</w:t>
            </w:r>
            <w:r w:rsidR="001370BD" w:rsidRPr="0047760A">
              <w:rPr>
                <w:rFonts w:asciiTheme="minorHAnsi" w:hAnsiTheme="minorHAnsi" w:cstheme="minorHAnsi"/>
                <w:sz w:val="20"/>
                <w:szCs w:val="20"/>
              </w:rPr>
              <w:t xml:space="preserve"> µg/m</w:t>
            </w:r>
            <w:r w:rsidR="001370BD" w:rsidRPr="0047760A">
              <w:rPr>
                <w:rFonts w:asciiTheme="minorHAnsi" w:hAnsiTheme="minorHAnsi" w:cstheme="minorHAnsi"/>
                <w:sz w:val="20"/>
                <w:szCs w:val="20"/>
                <w:vertAlign w:val="superscript"/>
              </w:rPr>
              <w:t>3</w:t>
            </w:r>
          </w:p>
        </w:tc>
        <w:tc>
          <w:tcPr>
            <w:tcW w:w="1408" w:type="dxa"/>
          </w:tcPr>
          <w:p w14:paraId="538C9638" w14:textId="6343C4B9" w:rsidR="008F45AF" w:rsidRPr="0047760A" w:rsidRDefault="00BB11B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20 </w:t>
            </w:r>
            <w:r w:rsidR="008F45AF" w:rsidRPr="0047760A">
              <w:rPr>
                <w:rFonts w:asciiTheme="minorHAnsi" w:hAnsiTheme="minorHAnsi" w:cstheme="minorHAnsi"/>
                <w:sz w:val="20"/>
                <w:szCs w:val="20"/>
              </w:rPr>
              <w:t>µg/m</w:t>
            </w:r>
            <w:r w:rsidR="008F45AF" w:rsidRPr="0047760A">
              <w:rPr>
                <w:rFonts w:asciiTheme="minorHAnsi" w:hAnsiTheme="minorHAnsi" w:cstheme="minorHAnsi"/>
                <w:sz w:val="20"/>
                <w:szCs w:val="20"/>
                <w:vertAlign w:val="superscript"/>
              </w:rPr>
              <w:t>3</w:t>
            </w:r>
          </w:p>
        </w:tc>
        <w:tc>
          <w:tcPr>
            <w:tcW w:w="1664" w:type="dxa"/>
          </w:tcPr>
          <w:p w14:paraId="6AB8E9E6" w14:textId="77777777" w:rsidR="003A4460" w:rsidRDefault="003A4460" w:rsidP="003A446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Cs w:val="20"/>
              </w:rPr>
              <w:t>Under review as part of the Climate Change Strategy.  Refer to broad measures in table 2.2</w:t>
            </w:r>
          </w:p>
          <w:p w14:paraId="536BC3C0" w14:textId="7BF114D3" w:rsidR="008F45AF" w:rsidRPr="0047760A" w:rsidRDefault="008F45AF" w:rsidP="003A446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41" w:type="dxa"/>
          </w:tcPr>
          <w:p w14:paraId="68417BAF" w14:textId="1C266D1F" w:rsidR="008F45AF" w:rsidRPr="0047760A" w:rsidRDefault="00B6413C"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25" w:history="1">
              <w:r w:rsidR="007E1F4D" w:rsidRPr="007E1F4D">
                <w:rPr>
                  <w:rStyle w:val="Hyperlink"/>
                  <w:color w:val="auto"/>
                </w:rPr>
                <w:t>https://uk-air.defra.gov.uk/aqma/local-authorities?la_id=251</w:t>
              </w:r>
            </w:hyperlink>
          </w:p>
        </w:tc>
      </w:tr>
      <w:tr w:rsidR="00A623E2" w:rsidRPr="00116356" w14:paraId="02F30104" w14:textId="77777777" w:rsidTr="00AA19BF">
        <w:trPr>
          <w:trHeight w:val="2212"/>
        </w:trPr>
        <w:tc>
          <w:tcPr>
            <w:cnfStyle w:val="001000000000" w:firstRow="0" w:lastRow="0" w:firstColumn="1" w:lastColumn="0" w:oddVBand="0" w:evenVBand="0" w:oddHBand="0" w:evenHBand="0" w:firstRowFirstColumn="0" w:firstRowLastColumn="0" w:lastRowFirstColumn="0" w:lastRowLastColumn="0"/>
            <w:tcW w:w="1326" w:type="dxa"/>
          </w:tcPr>
          <w:p w14:paraId="17617148" w14:textId="77777777" w:rsidR="00A623E2" w:rsidRDefault="00A623E2" w:rsidP="00A623E2">
            <w:pPr>
              <w:spacing w:before="0" w:after="0" w:line="240" w:lineRule="auto"/>
              <w:rPr>
                <w:rFonts w:cs="Arial"/>
                <w:color w:val="000000"/>
                <w:sz w:val="20"/>
                <w:szCs w:val="20"/>
              </w:rPr>
            </w:pPr>
            <w:r>
              <w:rPr>
                <w:rFonts w:cs="Arial"/>
                <w:color w:val="000000"/>
                <w:szCs w:val="20"/>
              </w:rPr>
              <w:t>Boldon Lane/ Stanhope Road</w:t>
            </w:r>
          </w:p>
          <w:p w14:paraId="3E2544FF" w14:textId="7AC5F553" w:rsidR="00A623E2" w:rsidRPr="0047760A" w:rsidRDefault="00A623E2" w:rsidP="00A623E2">
            <w:pPr>
              <w:spacing w:before="0" w:after="0" w:line="240" w:lineRule="auto"/>
              <w:rPr>
                <w:rFonts w:asciiTheme="minorHAnsi" w:hAnsiTheme="minorHAnsi" w:cstheme="minorHAnsi"/>
                <w:sz w:val="20"/>
                <w:szCs w:val="20"/>
              </w:rPr>
            </w:pPr>
          </w:p>
        </w:tc>
        <w:tc>
          <w:tcPr>
            <w:tcW w:w="1327" w:type="dxa"/>
          </w:tcPr>
          <w:p w14:paraId="0DAB122D" w14:textId="77777777" w:rsidR="00A623E2" w:rsidRDefault="00A623E2"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1st March 2006</w:t>
            </w:r>
          </w:p>
          <w:p w14:paraId="36D4D257" w14:textId="1043A203" w:rsidR="00A623E2" w:rsidRPr="0047760A" w:rsidRDefault="00A623E2"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272" w:type="dxa"/>
          </w:tcPr>
          <w:p w14:paraId="4C554007" w14:textId="77777777" w:rsidR="00A623E2" w:rsidRDefault="00A623E2"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NO2 Annual Mean</w:t>
            </w:r>
          </w:p>
          <w:p w14:paraId="1D961612" w14:textId="76E50DF4" w:rsidR="00A623E2" w:rsidRPr="0047760A" w:rsidRDefault="00A623E2"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932" w:type="dxa"/>
          </w:tcPr>
          <w:p w14:paraId="2FE6D564" w14:textId="77777777" w:rsidR="00A623E2" w:rsidRDefault="00A623E2"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p w14:paraId="4595191F" w14:textId="77777777" w:rsidR="00A623E2" w:rsidRDefault="00A623E2"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Commercial properties with residential properties extending along Boldon Lane and Stanhope Road</w:t>
            </w:r>
          </w:p>
          <w:p w14:paraId="21D96870" w14:textId="54DCA65B" w:rsidR="00A623E2" w:rsidRPr="0047760A" w:rsidRDefault="00A623E2"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265" w:type="dxa"/>
          </w:tcPr>
          <w:p w14:paraId="2C88577F" w14:textId="6580BE7A" w:rsidR="00A623E2" w:rsidRPr="0047760A" w:rsidRDefault="00A623E2"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cs="Arial"/>
                <w:szCs w:val="20"/>
                <w:lang w:eastAsia="en-GB"/>
              </w:rPr>
              <w:t>No</w:t>
            </w:r>
          </w:p>
        </w:tc>
        <w:tc>
          <w:tcPr>
            <w:tcW w:w="1425" w:type="dxa"/>
            <w:gridSpan w:val="2"/>
          </w:tcPr>
          <w:p w14:paraId="3771CBA4" w14:textId="35F2DEB3" w:rsidR="00A623E2" w:rsidRPr="0047760A" w:rsidRDefault="001370BD"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41</w:t>
            </w:r>
            <w:r w:rsidRPr="0047760A">
              <w:rPr>
                <w:rFonts w:asciiTheme="minorHAnsi" w:hAnsiTheme="minorHAnsi" w:cstheme="minorHAnsi"/>
                <w:sz w:val="20"/>
                <w:szCs w:val="20"/>
              </w:rPr>
              <w:t xml:space="preserve"> µg/m</w:t>
            </w:r>
            <w:r w:rsidRPr="0047760A">
              <w:rPr>
                <w:rFonts w:asciiTheme="minorHAnsi" w:hAnsiTheme="minorHAnsi" w:cstheme="minorHAnsi"/>
                <w:sz w:val="20"/>
                <w:szCs w:val="20"/>
                <w:vertAlign w:val="superscript"/>
              </w:rPr>
              <w:t>3</w:t>
            </w:r>
          </w:p>
        </w:tc>
        <w:tc>
          <w:tcPr>
            <w:tcW w:w="1408" w:type="dxa"/>
          </w:tcPr>
          <w:p w14:paraId="0759E831" w14:textId="3F1B04EE" w:rsidR="00A623E2" w:rsidRPr="0047760A" w:rsidRDefault="00BB11B5"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16</w:t>
            </w:r>
            <w:r w:rsidR="00A623E2" w:rsidRPr="0047760A">
              <w:rPr>
                <w:rFonts w:asciiTheme="minorHAnsi" w:hAnsiTheme="minorHAnsi" w:cstheme="minorHAnsi"/>
                <w:sz w:val="20"/>
                <w:szCs w:val="20"/>
              </w:rPr>
              <w:t xml:space="preserve"> </w:t>
            </w:r>
            <w:r w:rsidRPr="0047760A">
              <w:rPr>
                <w:rFonts w:asciiTheme="minorHAnsi" w:hAnsiTheme="minorHAnsi" w:cstheme="minorHAnsi"/>
                <w:sz w:val="20"/>
                <w:szCs w:val="20"/>
              </w:rPr>
              <w:t>µg/m</w:t>
            </w:r>
            <w:r w:rsidRPr="0047760A">
              <w:rPr>
                <w:rFonts w:asciiTheme="minorHAnsi" w:hAnsiTheme="minorHAnsi" w:cstheme="minorHAnsi"/>
                <w:sz w:val="20"/>
                <w:szCs w:val="20"/>
                <w:vertAlign w:val="superscript"/>
              </w:rPr>
              <w:t>3</w:t>
            </w:r>
          </w:p>
        </w:tc>
        <w:tc>
          <w:tcPr>
            <w:tcW w:w="1664" w:type="dxa"/>
          </w:tcPr>
          <w:p w14:paraId="19DCCA3C" w14:textId="77777777" w:rsidR="00A623E2" w:rsidRDefault="00A623E2"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Cs w:val="20"/>
              </w:rPr>
              <w:t>Under review as part of the Climate Change Strategy.  Refer to broad measures in table 2.2</w:t>
            </w:r>
          </w:p>
          <w:p w14:paraId="1F2D55C0" w14:textId="64C5F88B" w:rsidR="00A623E2" w:rsidRPr="0047760A" w:rsidRDefault="00A623E2"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41" w:type="dxa"/>
          </w:tcPr>
          <w:p w14:paraId="293F7833" w14:textId="23CDA402" w:rsidR="00A623E2" w:rsidRPr="0047760A" w:rsidRDefault="00B6413C" w:rsidP="00A623E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26" w:history="1">
              <w:r w:rsidR="00A623E2" w:rsidRPr="007E1F4D">
                <w:rPr>
                  <w:rStyle w:val="Hyperlink"/>
                  <w:color w:val="auto"/>
                </w:rPr>
                <w:t>https://uk-air.defra.gov.uk/aqma/local-authorities?la_id=251</w:t>
              </w:r>
            </w:hyperlink>
          </w:p>
        </w:tc>
      </w:tr>
    </w:tbl>
    <w:p w14:paraId="6046C4B9" w14:textId="50838DF7" w:rsidR="008F45AF" w:rsidRDefault="00B6413C" w:rsidP="00A8540C">
      <w:pPr>
        <w:spacing w:line="240" w:lineRule="auto"/>
        <w:rPr>
          <w:b/>
          <w:szCs w:val="24"/>
        </w:rPr>
      </w:pPr>
      <w:sdt>
        <w:sdtPr>
          <w:rPr>
            <w:color w:val="2B579A"/>
            <w:szCs w:val="24"/>
            <w:shd w:val="clear" w:color="auto" w:fill="E6E6E6"/>
          </w:rPr>
          <w:id w:val="-561019701"/>
          <w14:checkbox>
            <w14:checked w14:val="1"/>
            <w14:checkedState w14:val="2612" w14:font="MS Gothic"/>
            <w14:uncheckedState w14:val="2610" w14:font="MS Gothic"/>
          </w14:checkbox>
        </w:sdtPr>
        <w:sdtEndPr/>
        <w:sdtContent>
          <w:r w:rsidR="001370BD">
            <w:rPr>
              <w:rFonts w:ascii="MS Gothic" w:eastAsia="MS Gothic" w:hAnsi="MS Gothic" w:hint="eastAsia"/>
              <w:color w:val="2B579A"/>
              <w:szCs w:val="24"/>
              <w:shd w:val="clear" w:color="auto" w:fill="E6E6E6"/>
            </w:rPr>
            <w:t>☒</w:t>
          </w:r>
        </w:sdtContent>
      </w:sdt>
      <w:r w:rsidR="008F45AF" w:rsidRPr="00090C17">
        <w:rPr>
          <w:szCs w:val="24"/>
        </w:rPr>
        <w:t xml:space="preserve"> </w:t>
      </w:r>
      <w:r w:rsidR="005E7748" w:rsidRPr="005E7748">
        <w:rPr>
          <w:rFonts w:cs="Arial"/>
          <w:b/>
        </w:rPr>
        <w:t xml:space="preserve">South Tyneside Council </w:t>
      </w:r>
      <w:r w:rsidR="008F45AF" w:rsidRPr="005E7748">
        <w:rPr>
          <w:b/>
          <w:szCs w:val="24"/>
        </w:rPr>
        <w:t xml:space="preserve">confirm the </w:t>
      </w:r>
      <w:r w:rsidR="008F45AF" w:rsidRPr="00090C17">
        <w:rPr>
          <w:b/>
          <w:szCs w:val="24"/>
        </w:rPr>
        <w:t>information on UK-Air regarding their AQMA(s) is up to date</w:t>
      </w:r>
      <w:r w:rsidR="005E7748">
        <w:rPr>
          <w:b/>
          <w:szCs w:val="24"/>
        </w:rPr>
        <w:t>.</w:t>
      </w:r>
    </w:p>
    <w:p w14:paraId="53B7C988" w14:textId="62542104" w:rsidR="00775992" w:rsidRDefault="00B6413C" w:rsidP="00A8540C">
      <w:pPr>
        <w:spacing w:line="240" w:lineRule="auto"/>
        <w:rPr>
          <w:b/>
          <w:szCs w:val="24"/>
        </w:rPr>
      </w:pPr>
      <w:sdt>
        <w:sdtPr>
          <w:rPr>
            <w:color w:val="2B579A"/>
            <w:szCs w:val="24"/>
            <w:shd w:val="clear" w:color="auto" w:fill="E6E6E6"/>
          </w:rPr>
          <w:id w:val="-514619660"/>
          <w14:checkbox>
            <w14:checked w14:val="1"/>
            <w14:checkedState w14:val="2612" w14:font="MS Gothic"/>
            <w14:uncheckedState w14:val="2610" w14:font="MS Gothic"/>
          </w14:checkbox>
        </w:sdtPr>
        <w:sdtEndPr/>
        <w:sdtContent>
          <w:r w:rsidR="001370BD">
            <w:rPr>
              <w:rFonts w:ascii="MS Gothic" w:eastAsia="MS Gothic" w:hAnsi="MS Gothic" w:hint="eastAsia"/>
              <w:color w:val="2B579A"/>
              <w:szCs w:val="24"/>
              <w:shd w:val="clear" w:color="auto" w:fill="E6E6E6"/>
            </w:rPr>
            <w:t>☒</w:t>
          </w:r>
        </w:sdtContent>
      </w:sdt>
      <w:r w:rsidR="00775992" w:rsidRPr="00090C17">
        <w:rPr>
          <w:szCs w:val="24"/>
        </w:rPr>
        <w:t xml:space="preserve"> </w:t>
      </w:r>
      <w:r w:rsidR="005E7748" w:rsidRPr="005E7748">
        <w:rPr>
          <w:rFonts w:cs="Arial"/>
          <w:b/>
        </w:rPr>
        <w:t>South Tyneside Council</w:t>
      </w:r>
      <w:r w:rsidR="005E7748">
        <w:rPr>
          <w:rFonts w:cs="Arial"/>
          <w:b/>
        </w:rPr>
        <w:t xml:space="preserve"> </w:t>
      </w:r>
      <w:r w:rsidR="00775992" w:rsidRPr="00090C17">
        <w:rPr>
          <w:b/>
          <w:szCs w:val="24"/>
        </w:rPr>
        <w:t xml:space="preserve">confirm </w:t>
      </w:r>
      <w:r w:rsidR="00775992">
        <w:rPr>
          <w:b/>
          <w:szCs w:val="24"/>
        </w:rPr>
        <w:t>that all current AQAPs have been submitted to</w:t>
      </w:r>
      <w:r w:rsidR="00650E9C">
        <w:rPr>
          <w:b/>
          <w:szCs w:val="24"/>
        </w:rPr>
        <w:t xml:space="preserve"> Defra</w:t>
      </w:r>
      <w:r w:rsidR="005E7748">
        <w:rPr>
          <w:b/>
          <w:szCs w:val="24"/>
        </w:rPr>
        <w:t>.</w:t>
      </w:r>
    </w:p>
    <w:p w14:paraId="0222F05F" w14:textId="77777777" w:rsidR="00EC5AA4" w:rsidRPr="00EC5AA4" w:rsidRDefault="00EC5AA4" w:rsidP="00400B0F">
      <w:pPr>
        <w:sectPr w:rsidR="00EC5AA4" w:rsidRPr="00EC5AA4" w:rsidSect="003172A5">
          <w:footerReference w:type="default" r:id="rId27"/>
          <w:pgSz w:w="16838" w:h="11899" w:orient="landscape" w:code="9"/>
          <w:pgMar w:top="1134" w:right="1134" w:bottom="1134" w:left="1134" w:header="340" w:footer="340" w:gutter="0"/>
          <w:cols w:space="708"/>
          <w:docGrid w:linePitch="326"/>
        </w:sectPr>
      </w:pPr>
    </w:p>
    <w:p w14:paraId="79E748CD" w14:textId="31A07B0C" w:rsidR="008509BF" w:rsidRPr="00176F57" w:rsidRDefault="008509BF" w:rsidP="008509BF">
      <w:pPr>
        <w:pStyle w:val="Heading2"/>
      </w:pPr>
      <w:bookmarkStart w:id="35" w:name="_Toc75438377"/>
      <w:bookmarkEnd w:id="30"/>
      <w:bookmarkEnd w:id="31"/>
      <w:bookmarkEnd w:id="32"/>
      <w:r>
        <w:t>2.</w:t>
      </w:r>
      <w:r w:rsidR="00F805A3">
        <w:t>2</w:t>
      </w:r>
      <w:r>
        <w:t xml:space="preserve"> </w:t>
      </w:r>
      <w:r w:rsidR="004B71AC">
        <w:t xml:space="preserve">Progress </w:t>
      </w:r>
      <w:r w:rsidR="001C2864">
        <w:t xml:space="preserve">and impact </w:t>
      </w:r>
      <w:r w:rsidR="00345747">
        <w:t xml:space="preserve">of measures </w:t>
      </w:r>
      <w:r w:rsidR="00851DE2">
        <w:t xml:space="preserve">to address </w:t>
      </w:r>
      <w:r w:rsidR="00614BD1">
        <w:t>Air Quality in South Tyneside</w:t>
      </w:r>
      <w:bookmarkEnd w:id="35"/>
    </w:p>
    <w:p w14:paraId="1A51DD70" w14:textId="68EAFAFB" w:rsidR="00F06B01" w:rsidRDefault="00FC1045" w:rsidP="00F06B01">
      <w:pPr>
        <w:pStyle w:val="TRLBodyText"/>
        <w:spacing w:line="360" w:lineRule="auto"/>
        <w:rPr>
          <w:rFonts w:asciiTheme="minorHAnsi" w:hAnsiTheme="minorHAnsi" w:cstheme="minorHAnsi"/>
          <w:szCs w:val="24"/>
        </w:rPr>
      </w:pPr>
      <w:r w:rsidRPr="00F06B01">
        <w:rPr>
          <w:rFonts w:asciiTheme="minorHAnsi" w:hAnsiTheme="minorHAnsi" w:cstheme="minorHAnsi"/>
          <w:szCs w:val="24"/>
        </w:rPr>
        <w:t>Defra’s</w:t>
      </w:r>
      <w:r w:rsidR="00A31FFE">
        <w:rPr>
          <w:rFonts w:asciiTheme="minorHAnsi" w:hAnsiTheme="minorHAnsi" w:cstheme="minorHAnsi"/>
          <w:szCs w:val="24"/>
        </w:rPr>
        <w:t xml:space="preserve"> positive</w:t>
      </w:r>
      <w:r w:rsidRPr="00F06B01">
        <w:rPr>
          <w:rFonts w:asciiTheme="minorHAnsi" w:hAnsiTheme="minorHAnsi" w:cstheme="minorHAnsi"/>
          <w:szCs w:val="24"/>
        </w:rPr>
        <w:t xml:space="preserve"> appraisal of last year’s ASR concluded </w:t>
      </w:r>
      <w:r w:rsidR="00F06B01">
        <w:rPr>
          <w:rFonts w:asciiTheme="minorHAnsi" w:hAnsiTheme="minorHAnsi" w:cstheme="minorHAnsi"/>
          <w:szCs w:val="24"/>
        </w:rPr>
        <w:t>–</w:t>
      </w:r>
    </w:p>
    <w:p w14:paraId="1669C135" w14:textId="6D1AACFC" w:rsidR="00F06B01" w:rsidRPr="00F06B01" w:rsidRDefault="00A31FFE" w:rsidP="00F06B01">
      <w:pPr>
        <w:pStyle w:val="TRLBodyText"/>
        <w:spacing w:line="360" w:lineRule="auto"/>
        <w:rPr>
          <w:rFonts w:asciiTheme="minorHAnsi" w:hAnsiTheme="minorHAnsi" w:cstheme="minorHAnsi"/>
          <w:szCs w:val="24"/>
        </w:rPr>
      </w:pPr>
      <w:r>
        <w:rPr>
          <w:rFonts w:asciiTheme="minorHAnsi" w:hAnsiTheme="minorHAnsi" w:cstheme="minorHAnsi"/>
          <w:szCs w:val="24"/>
        </w:rPr>
        <w:t>“</w:t>
      </w:r>
      <w:r w:rsidR="00F06B01" w:rsidRPr="00F06B01">
        <w:rPr>
          <w:rFonts w:asciiTheme="minorHAnsi" w:hAnsiTheme="minorHAnsi" w:cstheme="minorHAnsi"/>
          <w:szCs w:val="24"/>
        </w:rPr>
        <w:t>The report is well structured, detailed, and provides the information specified in the Guidance. The following comments are designed to help inform future reports.</w:t>
      </w:r>
    </w:p>
    <w:p w14:paraId="7225C446" w14:textId="77777777" w:rsidR="00F06B01" w:rsidRPr="00F06B01" w:rsidRDefault="00F06B01" w:rsidP="009B37CB">
      <w:pPr>
        <w:pStyle w:val="Indent1"/>
        <w:numPr>
          <w:ilvl w:val="0"/>
          <w:numId w:val="37"/>
        </w:numPr>
        <w:tabs>
          <w:tab w:val="left" w:pos="567"/>
        </w:tabs>
        <w:spacing w:before="120" w:after="120"/>
        <w:ind w:right="612"/>
        <w:rPr>
          <w:rFonts w:ascii="Arial" w:hAnsi="Arial" w:cs="Arial"/>
          <w:szCs w:val="24"/>
        </w:rPr>
      </w:pPr>
      <w:bookmarkStart w:id="36" w:name="_Hlk43129986"/>
      <w:r w:rsidRPr="00F06B01">
        <w:rPr>
          <w:rFonts w:ascii="Arial" w:hAnsi="Arial" w:cs="Arial"/>
          <w:szCs w:val="24"/>
        </w:rPr>
        <w:t xml:space="preserve">Robust and accurate QA/QC procedures were applied. Calculations for bias adjustment, annualisation and distance-correction factors were outlined in detail. </w:t>
      </w:r>
    </w:p>
    <w:p w14:paraId="2DE7B036" w14:textId="77777777" w:rsidR="00F06B01" w:rsidRPr="00F06B01" w:rsidRDefault="00F06B01" w:rsidP="009B37CB">
      <w:pPr>
        <w:pStyle w:val="Indent1"/>
        <w:numPr>
          <w:ilvl w:val="0"/>
          <w:numId w:val="37"/>
        </w:numPr>
        <w:tabs>
          <w:tab w:val="left" w:pos="567"/>
        </w:tabs>
        <w:spacing w:before="120" w:after="120"/>
        <w:ind w:right="612"/>
        <w:rPr>
          <w:rFonts w:ascii="Arial" w:hAnsi="Arial" w:cs="Arial"/>
          <w:szCs w:val="24"/>
        </w:rPr>
      </w:pPr>
      <w:r w:rsidRPr="00F06B01">
        <w:rPr>
          <w:rFonts w:ascii="Arial" w:hAnsi="Arial" w:cs="Arial"/>
          <w:szCs w:val="24"/>
        </w:rPr>
        <w:t>The Council has included discussion and review of its AQMAs and monitoring strategy, informed due to the extensive monitoring network and also the additional tubes in place to provide data. This demonstrates the Councils proactive and dedicated approach to improving air quality across the area.</w:t>
      </w:r>
    </w:p>
    <w:p w14:paraId="2C5FC7FB" w14:textId="77777777" w:rsidR="00F06B01" w:rsidRPr="00F06B01" w:rsidRDefault="00F06B01" w:rsidP="009B37CB">
      <w:pPr>
        <w:pStyle w:val="Indent1"/>
        <w:numPr>
          <w:ilvl w:val="0"/>
          <w:numId w:val="37"/>
        </w:numPr>
        <w:tabs>
          <w:tab w:val="left" w:pos="567"/>
        </w:tabs>
        <w:spacing w:before="120" w:after="120"/>
        <w:ind w:right="612"/>
        <w:rPr>
          <w:rFonts w:ascii="Arial" w:hAnsi="Arial" w:cs="Arial"/>
          <w:szCs w:val="24"/>
        </w:rPr>
      </w:pPr>
      <w:r w:rsidRPr="00F06B01">
        <w:rPr>
          <w:rFonts w:ascii="Arial" w:hAnsi="Arial" w:cs="Arial"/>
          <w:szCs w:val="24"/>
        </w:rPr>
        <w:t>Comments from last year’s ASR have been mentioned and addressed. This is welcomed, and we encourage this to continue in future ASRs.</w:t>
      </w:r>
    </w:p>
    <w:p w14:paraId="7187C325" w14:textId="6CFF3946" w:rsidR="00F06B01" w:rsidRPr="00F06B01" w:rsidRDefault="00F06B01" w:rsidP="009B37CB">
      <w:pPr>
        <w:pStyle w:val="Indent1"/>
        <w:numPr>
          <w:ilvl w:val="0"/>
          <w:numId w:val="37"/>
        </w:numPr>
        <w:tabs>
          <w:tab w:val="left" w:pos="567"/>
        </w:tabs>
        <w:spacing w:before="120" w:after="120"/>
        <w:ind w:right="612"/>
        <w:rPr>
          <w:rFonts w:ascii="Arial" w:hAnsi="Arial" w:cs="Arial"/>
          <w:szCs w:val="24"/>
        </w:rPr>
      </w:pPr>
      <w:r w:rsidRPr="00F06B01">
        <w:rPr>
          <w:rFonts w:ascii="Arial" w:hAnsi="Arial" w:cs="Arial"/>
          <w:szCs w:val="24"/>
        </w:rPr>
        <w:t>There are several minor formatting issues seen throughout the report with results not presented to the correct number of decimal places, text from the template in red is required to be removed also and the bias adjustment factor reported is from the previous year despite using the correct factor for the calculation for 2019. Please take care when writing the ASR.</w:t>
      </w:r>
      <w:r w:rsidR="00A31FFE">
        <w:rPr>
          <w:rFonts w:ascii="Arial" w:hAnsi="Arial" w:cs="Arial"/>
          <w:szCs w:val="24"/>
        </w:rPr>
        <w:t xml:space="preserve"> – </w:t>
      </w:r>
      <w:r w:rsidR="00856890">
        <w:rPr>
          <w:rFonts w:ascii="Arial" w:hAnsi="Arial" w:cs="Arial"/>
          <w:b/>
          <w:bCs/>
          <w:szCs w:val="24"/>
        </w:rPr>
        <w:t xml:space="preserve">DEFRA’s advise has been </w:t>
      </w:r>
      <w:r w:rsidR="007538CA">
        <w:rPr>
          <w:rFonts w:ascii="Arial" w:hAnsi="Arial" w:cs="Arial"/>
          <w:b/>
          <w:bCs/>
          <w:szCs w:val="24"/>
        </w:rPr>
        <w:t>considered and has been applied to improve the quality of this report.</w:t>
      </w:r>
    </w:p>
    <w:p w14:paraId="00564FEA" w14:textId="77777777" w:rsidR="00F06B01" w:rsidRPr="00F06B01" w:rsidRDefault="00F06B01" w:rsidP="009B37CB">
      <w:pPr>
        <w:pStyle w:val="Indent1"/>
        <w:numPr>
          <w:ilvl w:val="0"/>
          <w:numId w:val="37"/>
        </w:numPr>
        <w:tabs>
          <w:tab w:val="left" w:pos="567"/>
        </w:tabs>
        <w:spacing w:before="120" w:after="120"/>
        <w:ind w:right="612"/>
        <w:rPr>
          <w:rFonts w:ascii="Arial" w:hAnsi="Arial" w:cs="Arial"/>
          <w:szCs w:val="24"/>
        </w:rPr>
      </w:pPr>
      <w:r w:rsidRPr="00F06B01">
        <w:rPr>
          <w:rFonts w:ascii="Arial" w:hAnsi="Arial" w:cs="Arial"/>
          <w:szCs w:val="24"/>
        </w:rPr>
        <w:t>The Public Health Outcomes Frameworks was mentioned. The Council have referred specifically to indicator D01, which is the fraction of mortality attributable to particulate air pollution, and this is encouraged.</w:t>
      </w:r>
    </w:p>
    <w:p w14:paraId="0A448606" w14:textId="77777777" w:rsidR="00F06B01" w:rsidRPr="00F06B01" w:rsidRDefault="00F06B01" w:rsidP="009B37CB">
      <w:pPr>
        <w:pStyle w:val="Indent1"/>
        <w:numPr>
          <w:ilvl w:val="0"/>
          <w:numId w:val="37"/>
        </w:numPr>
        <w:tabs>
          <w:tab w:val="left" w:pos="567"/>
        </w:tabs>
        <w:spacing w:before="120" w:after="120"/>
        <w:ind w:right="612"/>
        <w:rPr>
          <w:rFonts w:ascii="Arial" w:hAnsi="Arial" w:cs="Arial"/>
          <w:szCs w:val="24"/>
        </w:rPr>
      </w:pPr>
      <w:r w:rsidRPr="00F06B01">
        <w:rPr>
          <w:rFonts w:ascii="Arial" w:hAnsi="Arial" w:cs="Arial"/>
          <w:szCs w:val="24"/>
        </w:rPr>
        <w:t xml:space="preserve"> Council have provided a clear map of the diffusion tube monitoring network; trends are displays and discussed in the report, this is welcomed. </w:t>
      </w:r>
    </w:p>
    <w:p w14:paraId="01D648A3" w14:textId="77777777" w:rsidR="00F06B01" w:rsidRPr="00F06B01" w:rsidRDefault="00F06B01" w:rsidP="009B37CB">
      <w:pPr>
        <w:pStyle w:val="Indent1"/>
        <w:numPr>
          <w:ilvl w:val="0"/>
          <w:numId w:val="37"/>
        </w:numPr>
        <w:tabs>
          <w:tab w:val="left" w:pos="567"/>
        </w:tabs>
        <w:spacing w:before="120" w:after="120"/>
        <w:ind w:right="612"/>
        <w:rPr>
          <w:rFonts w:ascii="Arial" w:hAnsi="Arial" w:cs="Arial"/>
          <w:szCs w:val="24"/>
        </w:rPr>
      </w:pPr>
      <w:r w:rsidRPr="00F06B01">
        <w:rPr>
          <w:rFonts w:ascii="Arial" w:hAnsi="Arial" w:cs="Arial"/>
          <w:szCs w:val="24"/>
        </w:rPr>
        <w:t>Council are considering the revocation of AQMAs if continued compliance with the Air Quality Objectives is seen in future years with this supported by the monitoring data through the detailed assessments being carried out presently.</w:t>
      </w:r>
    </w:p>
    <w:p w14:paraId="14AD3667" w14:textId="1694E5F7" w:rsidR="00F06B01" w:rsidRDefault="00F06B01" w:rsidP="009B37CB">
      <w:pPr>
        <w:pStyle w:val="Indent1"/>
        <w:numPr>
          <w:ilvl w:val="0"/>
          <w:numId w:val="37"/>
        </w:numPr>
        <w:tabs>
          <w:tab w:val="left" w:pos="567"/>
        </w:tabs>
        <w:spacing w:before="120" w:after="120"/>
        <w:ind w:right="612"/>
        <w:rPr>
          <w:rFonts w:ascii="Arial" w:hAnsi="Arial" w:cs="Arial"/>
          <w:szCs w:val="24"/>
        </w:rPr>
      </w:pPr>
      <w:proofErr w:type="gramStart"/>
      <w:r w:rsidRPr="00F06B01">
        <w:rPr>
          <w:rFonts w:ascii="Arial" w:hAnsi="Arial" w:cs="Arial"/>
          <w:szCs w:val="24"/>
        </w:rPr>
        <w:t>Overall</w:t>
      </w:r>
      <w:proofErr w:type="gramEnd"/>
      <w:r w:rsidRPr="00F06B01">
        <w:rPr>
          <w:rFonts w:ascii="Arial" w:hAnsi="Arial" w:cs="Arial"/>
          <w:szCs w:val="24"/>
        </w:rPr>
        <w:t xml:space="preserve"> the report is detailed, concise and satisfies the criteria of relevant standards. The Council should continue their good and thorough work.</w:t>
      </w:r>
    </w:p>
    <w:bookmarkEnd w:id="36"/>
    <w:p w14:paraId="718B83A9" w14:textId="20E6BD8E" w:rsidR="00D26AC8" w:rsidRPr="00B55137" w:rsidRDefault="00704CF2" w:rsidP="00B55137">
      <w:r w:rsidRPr="00704CF2">
        <w:t xml:space="preserve">South Tyneside Council </w:t>
      </w:r>
      <w:r w:rsidR="00FC1045" w:rsidRPr="00704CF2">
        <w:t xml:space="preserve">has taken </w:t>
      </w:r>
      <w:r w:rsidR="00FC1045">
        <w:t xml:space="preserve">forward a number of direct measures during the current reporting year of </w:t>
      </w:r>
      <w:r w:rsidRPr="00704CF2">
        <w:t>2020</w:t>
      </w:r>
      <w:r w:rsidR="00FC1045" w:rsidRPr="00704CF2">
        <w:t xml:space="preserve"> </w:t>
      </w:r>
      <w:r w:rsidR="00FC1045">
        <w:t xml:space="preserve">in pursuit of improving local air quality. Details of all measures completed, in progress or planned are set out in </w:t>
      </w:r>
      <w:r w:rsidR="00FC1045">
        <w:rPr>
          <w:color w:val="2B579A"/>
          <w:shd w:val="clear" w:color="auto" w:fill="E6E6E6"/>
        </w:rPr>
        <w:fldChar w:fldCharType="begin"/>
      </w:r>
      <w:r w:rsidR="00FC1045">
        <w:instrText xml:space="preserve"> REF _Ref55231798 \h </w:instrText>
      </w:r>
      <w:r w:rsidR="00400B0F">
        <w:instrText xml:space="preserve"> \* MERGEFORMAT </w:instrText>
      </w:r>
      <w:r w:rsidR="00FC1045">
        <w:rPr>
          <w:color w:val="2B579A"/>
          <w:shd w:val="clear" w:color="auto" w:fill="E6E6E6"/>
        </w:rPr>
      </w:r>
      <w:r w:rsidR="00FC1045">
        <w:rPr>
          <w:color w:val="2B579A"/>
          <w:shd w:val="clear" w:color="auto" w:fill="E6E6E6"/>
        </w:rPr>
        <w:fldChar w:fldCharType="separate"/>
      </w:r>
      <w:r w:rsidR="0062374A">
        <w:t xml:space="preserve">Table </w:t>
      </w:r>
      <w:r w:rsidR="0062374A">
        <w:rPr>
          <w:noProof/>
        </w:rPr>
        <w:t>2.2</w:t>
      </w:r>
      <w:r w:rsidR="00FC1045">
        <w:rPr>
          <w:color w:val="2B579A"/>
          <w:shd w:val="clear" w:color="auto" w:fill="E6E6E6"/>
        </w:rPr>
        <w:fldChar w:fldCharType="end"/>
      </w:r>
      <w:r w:rsidR="00FC1045">
        <w:t xml:space="preserve">. </w:t>
      </w:r>
      <w:r w:rsidRPr="00704CF2">
        <w:t>23</w:t>
      </w:r>
      <w:r w:rsidR="00FC1045" w:rsidRPr="00704CF2">
        <w:t xml:space="preserve"> m</w:t>
      </w:r>
      <w:r w:rsidR="00FC1045">
        <w:t xml:space="preserve">easures are included within </w:t>
      </w:r>
      <w:r w:rsidR="00FC1045">
        <w:rPr>
          <w:color w:val="2B579A"/>
          <w:shd w:val="clear" w:color="auto" w:fill="E6E6E6"/>
        </w:rPr>
        <w:fldChar w:fldCharType="begin"/>
      </w:r>
      <w:r w:rsidR="00FC1045">
        <w:instrText xml:space="preserve"> REF _Ref55231798 \h </w:instrText>
      </w:r>
      <w:r w:rsidR="00400B0F">
        <w:instrText xml:space="preserve"> \* MERGEFORMAT </w:instrText>
      </w:r>
      <w:r w:rsidR="00FC1045">
        <w:rPr>
          <w:color w:val="2B579A"/>
          <w:shd w:val="clear" w:color="auto" w:fill="E6E6E6"/>
        </w:rPr>
      </w:r>
      <w:r w:rsidR="00FC1045">
        <w:rPr>
          <w:color w:val="2B579A"/>
          <w:shd w:val="clear" w:color="auto" w:fill="E6E6E6"/>
        </w:rPr>
        <w:fldChar w:fldCharType="separate"/>
      </w:r>
      <w:r w:rsidR="0062374A">
        <w:t xml:space="preserve">Table </w:t>
      </w:r>
      <w:r w:rsidR="0062374A">
        <w:rPr>
          <w:noProof/>
        </w:rPr>
        <w:t>2.2</w:t>
      </w:r>
      <w:r w:rsidR="00FC1045">
        <w:rPr>
          <w:color w:val="2B579A"/>
          <w:shd w:val="clear" w:color="auto" w:fill="E6E6E6"/>
        </w:rPr>
        <w:fldChar w:fldCharType="end"/>
      </w:r>
      <w:r w:rsidR="00FC1045">
        <w:t xml:space="preserve">, with the type of measure and the progress </w:t>
      </w:r>
      <w:r>
        <w:t>South Tyneside Council</w:t>
      </w:r>
      <w:r w:rsidR="00FC1045">
        <w:rPr>
          <w:color w:val="FF0000"/>
        </w:rPr>
        <w:t xml:space="preserve"> </w:t>
      </w:r>
      <w:r w:rsidR="00FC1045" w:rsidRPr="00FC1045">
        <w:t xml:space="preserve">have </w:t>
      </w:r>
      <w:r w:rsidR="00FC1045">
        <w:t xml:space="preserve">made during the reporting year </w:t>
      </w:r>
      <w:r>
        <w:t>of 2020</w:t>
      </w:r>
      <w:r w:rsidR="00E101D3">
        <w:rPr>
          <w:color w:val="FF0000"/>
        </w:rPr>
        <w:t xml:space="preserve"> </w:t>
      </w:r>
      <w:r w:rsidR="00FC1045">
        <w:t xml:space="preserve">presented. Where there have been, or continue to be, barriers </w:t>
      </w:r>
      <w:r w:rsidR="00141AA2">
        <w:t xml:space="preserve">restricting the implementation of the measure, these are also presented within </w:t>
      </w:r>
      <w:r w:rsidR="00141AA2">
        <w:rPr>
          <w:color w:val="2B579A"/>
          <w:shd w:val="clear" w:color="auto" w:fill="E6E6E6"/>
        </w:rPr>
        <w:fldChar w:fldCharType="begin"/>
      </w:r>
      <w:r w:rsidR="00141AA2">
        <w:instrText xml:space="preserve"> REF _Ref55231798 \h </w:instrText>
      </w:r>
      <w:r w:rsidR="00400B0F">
        <w:instrText xml:space="preserve"> \* MERGEFORMAT </w:instrText>
      </w:r>
      <w:r w:rsidR="00141AA2">
        <w:rPr>
          <w:color w:val="2B579A"/>
          <w:shd w:val="clear" w:color="auto" w:fill="E6E6E6"/>
        </w:rPr>
      </w:r>
      <w:r w:rsidR="00141AA2">
        <w:rPr>
          <w:color w:val="2B579A"/>
          <w:shd w:val="clear" w:color="auto" w:fill="E6E6E6"/>
        </w:rPr>
        <w:fldChar w:fldCharType="separate"/>
      </w:r>
      <w:r w:rsidR="0062374A">
        <w:t xml:space="preserve">Table </w:t>
      </w:r>
      <w:r w:rsidR="0062374A">
        <w:rPr>
          <w:noProof/>
        </w:rPr>
        <w:t>2.2</w:t>
      </w:r>
      <w:r w:rsidR="00141AA2">
        <w:rPr>
          <w:color w:val="2B579A"/>
          <w:shd w:val="clear" w:color="auto" w:fill="E6E6E6"/>
        </w:rPr>
        <w:fldChar w:fldCharType="end"/>
      </w:r>
      <w:r w:rsidR="00141AA2">
        <w:t>.</w:t>
      </w:r>
    </w:p>
    <w:p w14:paraId="20CD766C" w14:textId="03D31F9F" w:rsidR="009B37CB" w:rsidRDefault="00D26AC8" w:rsidP="00D26AC8">
      <w:pPr>
        <w:pStyle w:val="Indent2"/>
        <w:ind w:left="0" w:right="509" w:firstLine="0"/>
        <w:rPr>
          <w:rFonts w:ascii="Arial" w:hAnsi="Arial"/>
          <w:szCs w:val="24"/>
        </w:rPr>
      </w:pPr>
      <w:r>
        <w:rPr>
          <w:rFonts w:ascii="Arial" w:hAnsi="Arial"/>
          <w:szCs w:val="24"/>
        </w:rPr>
        <w:t>More detail on these measures can be found in their respective action plans i.e. the integrated Transport Plan and Physical Activity Strategy</w:t>
      </w:r>
      <w:r w:rsidR="00371F48">
        <w:rPr>
          <w:rFonts w:ascii="Arial" w:hAnsi="Arial"/>
          <w:szCs w:val="24"/>
        </w:rPr>
        <w:t xml:space="preserve"> (</w:t>
      </w:r>
      <w:hyperlink r:id="rId28" w:history="1">
        <w:r w:rsidR="00371F48">
          <w:rPr>
            <w:rStyle w:val="Hyperlink"/>
            <w:rFonts w:ascii="Arial" w:hAnsi="Arial"/>
            <w:szCs w:val="24"/>
          </w:rPr>
          <w:t>Physical Active Strategy</w:t>
        </w:r>
      </w:hyperlink>
      <w:r w:rsidR="00371F48">
        <w:rPr>
          <w:rFonts w:ascii="Arial" w:hAnsi="Arial"/>
          <w:szCs w:val="24"/>
        </w:rPr>
        <w:t>)</w:t>
      </w:r>
      <w:r>
        <w:rPr>
          <w:rFonts w:ascii="Arial" w:hAnsi="Arial"/>
          <w:szCs w:val="24"/>
        </w:rPr>
        <w:t xml:space="preserve">.  </w:t>
      </w:r>
    </w:p>
    <w:p w14:paraId="3AD849D3" w14:textId="77777777" w:rsidR="009B37CB" w:rsidRDefault="009B37CB" w:rsidP="00D26AC8">
      <w:pPr>
        <w:pStyle w:val="Indent2"/>
        <w:ind w:left="0" w:right="509" w:firstLine="0"/>
        <w:rPr>
          <w:rFonts w:ascii="Arial" w:hAnsi="Arial"/>
          <w:szCs w:val="24"/>
        </w:rPr>
      </w:pPr>
    </w:p>
    <w:p w14:paraId="1046CC54" w14:textId="0544C8CE" w:rsidR="00D26AC8" w:rsidRDefault="00D26AC8" w:rsidP="00D26AC8">
      <w:pPr>
        <w:pStyle w:val="Indent2"/>
        <w:ind w:left="0" w:right="509" w:firstLine="0"/>
        <w:rPr>
          <w:rFonts w:ascii="Arial" w:hAnsi="Arial"/>
          <w:szCs w:val="24"/>
        </w:rPr>
      </w:pPr>
      <w:r>
        <w:rPr>
          <w:rFonts w:ascii="Arial" w:hAnsi="Arial"/>
          <w:szCs w:val="24"/>
        </w:rPr>
        <w:t>Key completed measures include:</w:t>
      </w:r>
    </w:p>
    <w:p w14:paraId="76C0780B" w14:textId="77777777" w:rsidR="00D26AC8" w:rsidRDefault="00D26AC8" w:rsidP="00D26AC8">
      <w:pPr>
        <w:pStyle w:val="Style1"/>
        <w:numPr>
          <w:ilvl w:val="0"/>
          <w:numId w:val="24"/>
        </w:numPr>
        <w:jc w:val="both"/>
      </w:pPr>
      <w:r>
        <w:t>Lindisfarne Corridor (A19, A194, A1300) Improvements - £8.1m</w:t>
      </w:r>
    </w:p>
    <w:p w14:paraId="50CA3090" w14:textId="77777777" w:rsidR="00D26AC8" w:rsidRDefault="00D26AC8" w:rsidP="00D26AC8">
      <w:pPr>
        <w:pStyle w:val="Style1"/>
        <w:numPr>
          <w:ilvl w:val="0"/>
          <w:numId w:val="24"/>
        </w:numPr>
        <w:jc w:val="both"/>
      </w:pPr>
      <w:r>
        <w:t xml:space="preserve">The Arches (A185 / A194) junction improvements) - £9m </w:t>
      </w:r>
    </w:p>
    <w:p w14:paraId="77B5D3CF" w14:textId="77777777" w:rsidR="00D26AC8" w:rsidRDefault="00D26AC8" w:rsidP="00D26AC8">
      <w:pPr>
        <w:pStyle w:val="Style1"/>
        <w:numPr>
          <w:ilvl w:val="0"/>
          <w:numId w:val="24"/>
        </w:numPr>
        <w:jc w:val="both"/>
      </w:pPr>
      <w:r>
        <w:t>South Shields Public Transport Interchange - £18m</w:t>
      </w:r>
    </w:p>
    <w:p w14:paraId="158BA1B1" w14:textId="77777777" w:rsidR="00D26AC8" w:rsidRDefault="00D26AC8" w:rsidP="00D26AC8">
      <w:pPr>
        <w:pStyle w:val="Style1"/>
        <w:numPr>
          <w:ilvl w:val="0"/>
          <w:numId w:val="24"/>
        </w:numPr>
        <w:jc w:val="both"/>
      </w:pPr>
      <w:r>
        <w:t>A19 Northbound Lane Gain / Lane Drop - £3.5m</w:t>
      </w:r>
    </w:p>
    <w:p w14:paraId="28C6AF96" w14:textId="77777777" w:rsidR="00D26AC8" w:rsidRDefault="00D26AC8" w:rsidP="00D26AC8">
      <w:pPr>
        <w:pStyle w:val="Style1"/>
        <w:numPr>
          <w:ilvl w:val="0"/>
          <w:numId w:val="24"/>
        </w:numPr>
        <w:jc w:val="both"/>
      </w:pPr>
      <w:r>
        <w:t>A19 Cycle Scheme - £1m</w:t>
      </w:r>
    </w:p>
    <w:p w14:paraId="694ACE61" w14:textId="77777777" w:rsidR="00D26AC8" w:rsidRDefault="00D26AC8" w:rsidP="00D26AC8">
      <w:pPr>
        <w:pStyle w:val="Style1"/>
        <w:numPr>
          <w:ilvl w:val="0"/>
          <w:numId w:val="24"/>
        </w:numPr>
        <w:jc w:val="both"/>
      </w:pPr>
      <w:r>
        <w:t>Follingsby Lane Carriageway Improvements - £1m</w:t>
      </w:r>
    </w:p>
    <w:p w14:paraId="75DC449D" w14:textId="58275C68" w:rsidR="00D26AC8" w:rsidRDefault="00D26AC8" w:rsidP="00D26AC8">
      <w:pPr>
        <w:pStyle w:val="Style1"/>
        <w:numPr>
          <w:ilvl w:val="0"/>
          <w:numId w:val="24"/>
        </w:numPr>
        <w:spacing w:before="0"/>
        <w:jc w:val="both"/>
      </w:pPr>
      <w:r>
        <w:t>A185 Strategic Transport Corridor - £0.9m</w:t>
      </w:r>
    </w:p>
    <w:p w14:paraId="1AFC23F0" w14:textId="3B038FAA" w:rsidR="009B37CB" w:rsidRDefault="009B37CB" w:rsidP="009B37CB">
      <w:pPr>
        <w:pStyle w:val="Style1"/>
        <w:jc w:val="both"/>
      </w:pPr>
      <w:r>
        <w:t>The Council is set to embark on the construction of the following schemes in the coming years:</w:t>
      </w:r>
    </w:p>
    <w:p w14:paraId="55FB7CC9" w14:textId="77777777" w:rsidR="009B37CB" w:rsidRPr="00483268" w:rsidRDefault="009B37CB" w:rsidP="009B37CB">
      <w:pPr>
        <w:pStyle w:val="Style1"/>
        <w:numPr>
          <w:ilvl w:val="0"/>
          <w:numId w:val="24"/>
        </w:numPr>
        <w:jc w:val="both"/>
        <w:rPr>
          <w:b/>
          <w:bCs/>
        </w:rPr>
      </w:pPr>
      <w:r w:rsidRPr="00483268">
        <w:rPr>
          <w:b/>
          <w:bCs/>
        </w:rPr>
        <w:t>A194 Strategic Transport Corridor - £1m</w:t>
      </w:r>
    </w:p>
    <w:p w14:paraId="2BEF199E" w14:textId="77777777" w:rsidR="009B37CB" w:rsidRDefault="009B37CB" w:rsidP="009B37CB">
      <w:pPr>
        <w:pStyle w:val="Style1"/>
        <w:ind w:left="720"/>
        <w:jc w:val="both"/>
      </w:pPr>
      <w:r>
        <w:t>Following a successful external funding bid to the National Productivity Investment fund, the Council will deliver targeted improvements to reduce congestion, improve air quality and lead to economic growth. The designs are being finalised and will be constructed from September 2021.</w:t>
      </w:r>
    </w:p>
    <w:p w14:paraId="0EB679C6" w14:textId="77777777" w:rsidR="009B37CB" w:rsidRPr="00483268" w:rsidRDefault="009B37CB" w:rsidP="009B37CB">
      <w:pPr>
        <w:pStyle w:val="Style1"/>
        <w:numPr>
          <w:ilvl w:val="0"/>
          <w:numId w:val="24"/>
        </w:numPr>
        <w:jc w:val="both"/>
        <w:rPr>
          <w:b/>
          <w:bCs/>
        </w:rPr>
      </w:pPr>
      <w:r w:rsidRPr="00483268">
        <w:rPr>
          <w:b/>
          <w:bCs/>
        </w:rPr>
        <w:t>South Shields to Newcastle Bus Corridor - £2.5m</w:t>
      </w:r>
    </w:p>
    <w:p w14:paraId="096A5D53" w14:textId="77777777" w:rsidR="009B37CB" w:rsidRDefault="009B37CB" w:rsidP="009B37CB">
      <w:pPr>
        <w:pStyle w:val="Style1"/>
        <w:ind w:left="720"/>
        <w:jc w:val="both"/>
      </w:pPr>
      <w:r>
        <w:t>The Council has been provisionally awarded Transforming Cities fund as part of a successful regional funding ask. This will enable South Tyneside to bring forward improvements for public transport and other motorists at critical junctions, thus reducing congestion and improving air quality.</w:t>
      </w:r>
    </w:p>
    <w:p w14:paraId="508AFC10" w14:textId="77777777" w:rsidR="009B37CB" w:rsidRDefault="009B37CB" w:rsidP="009B37CB">
      <w:pPr>
        <w:pStyle w:val="Style1"/>
        <w:ind w:left="720"/>
        <w:jc w:val="both"/>
      </w:pPr>
      <w:r>
        <w:t>This will be delivered over a 3-year delivery programme from 2020-2023.</w:t>
      </w:r>
    </w:p>
    <w:p w14:paraId="7EF4D384" w14:textId="77777777" w:rsidR="009B37CB" w:rsidRPr="000450C6" w:rsidRDefault="009B37CB" w:rsidP="009B37CB">
      <w:pPr>
        <w:pStyle w:val="Style1"/>
        <w:numPr>
          <w:ilvl w:val="0"/>
          <w:numId w:val="24"/>
        </w:numPr>
        <w:jc w:val="both"/>
        <w:rPr>
          <w:b/>
          <w:bCs/>
        </w:rPr>
      </w:pPr>
      <w:r w:rsidRPr="000450C6">
        <w:rPr>
          <w:b/>
          <w:bCs/>
        </w:rPr>
        <w:t>Healthier / Safer Metro Stations - £3m</w:t>
      </w:r>
    </w:p>
    <w:p w14:paraId="2DDD2C97" w14:textId="2D59D950" w:rsidR="009B37CB" w:rsidRDefault="009B37CB" w:rsidP="009B37CB">
      <w:pPr>
        <w:pStyle w:val="Style1"/>
        <w:ind w:left="720"/>
        <w:jc w:val="both"/>
      </w:pPr>
      <w:r>
        <w:t>As with the above, South Tyneside will invest in both the Chichester and Tyne Dock metro stations in terms of sustainable transport links and improved security. The funding will come from the Transforming Cities Fund, with the schemes promoting sustainable transport options in an area close to the Boldon Lane Air Quality Management Area. This will be delivered over a 3-year delivery programme from 2020-2023.</w:t>
      </w:r>
    </w:p>
    <w:p w14:paraId="19047307" w14:textId="77777777" w:rsidR="009B37CB" w:rsidRPr="000450C6" w:rsidRDefault="009B37CB" w:rsidP="009B37CB">
      <w:pPr>
        <w:pStyle w:val="Style1"/>
        <w:numPr>
          <w:ilvl w:val="0"/>
          <w:numId w:val="24"/>
        </w:numPr>
        <w:jc w:val="both"/>
        <w:rPr>
          <w:b/>
          <w:bCs/>
        </w:rPr>
      </w:pPr>
      <w:r w:rsidRPr="000450C6">
        <w:rPr>
          <w:b/>
          <w:bCs/>
        </w:rPr>
        <w:t>Intelligent Transport Corridors - £1.5m</w:t>
      </w:r>
    </w:p>
    <w:p w14:paraId="5ABD82AC" w14:textId="77777777" w:rsidR="009B37CB" w:rsidRDefault="009B37CB" w:rsidP="009B37CB">
      <w:pPr>
        <w:pStyle w:val="Style1"/>
        <w:ind w:left="720"/>
        <w:jc w:val="both"/>
      </w:pPr>
      <w:r>
        <w:t>Again, as part of the successful Transforming Cities Fund bid, the Council will work with the Regional Traffic Signals team to deliver intelligent transport corridors using new technology and undertaking traffic signal upgrades.</w:t>
      </w:r>
    </w:p>
    <w:p w14:paraId="5B194324" w14:textId="42360490" w:rsidR="009B37CB" w:rsidRDefault="009B37CB" w:rsidP="009B37CB">
      <w:pPr>
        <w:pStyle w:val="Style1"/>
        <w:ind w:left="720"/>
        <w:jc w:val="both"/>
      </w:pPr>
      <w:r>
        <w:t>These upgrades will see improved traffic flows which will assist in reducing pollutants from stationary vehicles at the junctions. This will be delivered over a 3-year delivery programme from 2020-2023.</w:t>
      </w:r>
    </w:p>
    <w:p w14:paraId="73319AEF" w14:textId="77777777" w:rsidR="009B37CB" w:rsidRPr="009B37CB" w:rsidRDefault="009B37CB" w:rsidP="009B37CB">
      <w:pPr>
        <w:pStyle w:val="Style1"/>
        <w:numPr>
          <w:ilvl w:val="0"/>
          <w:numId w:val="24"/>
        </w:numPr>
        <w:jc w:val="both"/>
        <w:rPr>
          <w:b/>
          <w:bCs/>
        </w:rPr>
      </w:pPr>
      <w:r w:rsidRPr="009B37CB">
        <w:rPr>
          <w:b/>
          <w:bCs/>
        </w:rPr>
        <w:t>Active Travel Funding - £0.6m</w:t>
      </w:r>
    </w:p>
    <w:p w14:paraId="31347823" w14:textId="4F671FA6" w:rsidR="009B37CB" w:rsidRDefault="009B37CB" w:rsidP="009B37CB">
      <w:pPr>
        <w:pStyle w:val="Style1"/>
        <w:ind w:left="720"/>
        <w:jc w:val="both"/>
      </w:pPr>
      <w:r>
        <w:t xml:space="preserve">As part of a 20/21 successful bid for Active Travel Funding, South Tyneside is to bring forward sustainable transport initiatives on schemes highlighted in our consultation work undertaken as part of the draft Local Cycling and Walking Investment Plan. Works will be constructed over 21/22. </w:t>
      </w:r>
    </w:p>
    <w:p w14:paraId="44F19EA5" w14:textId="77777777" w:rsidR="009B37CB" w:rsidRPr="009B37CB" w:rsidRDefault="009B37CB" w:rsidP="009B37CB">
      <w:pPr>
        <w:pStyle w:val="Style1"/>
        <w:numPr>
          <w:ilvl w:val="0"/>
          <w:numId w:val="24"/>
        </w:numPr>
        <w:jc w:val="both"/>
        <w:rPr>
          <w:b/>
          <w:bCs/>
        </w:rPr>
      </w:pPr>
      <w:r w:rsidRPr="009B37CB">
        <w:rPr>
          <w:b/>
          <w:bCs/>
        </w:rPr>
        <w:t xml:space="preserve">IAMP Highway and Accessibility Improvements   </w:t>
      </w:r>
    </w:p>
    <w:p w14:paraId="0460082C" w14:textId="77777777" w:rsidR="009B37CB" w:rsidRDefault="009B37CB" w:rsidP="009B37CB">
      <w:pPr>
        <w:pStyle w:val="Style1"/>
        <w:ind w:left="720"/>
        <w:jc w:val="both"/>
      </w:pPr>
      <w:r>
        <w:t xml:space="preserve">The International Advanced Manufacturing Park (IAMP) being constructed in land adjacent to the Nissan Manufacturing Plant in Sunderland requires a significant amount of highway infrastructure to enable the development to come forward. </w:t>
      </w:r>
    </w:p>
    <w:p w14:paraId="7326267F" w14:textId="77777777" w:rsidR="009B37CB" w:rsidRDefault="009B37CB" w:rsidP="009B37CB">
      <w:pPr>
        <w:pStyle w:val="Style1"/>
        <w:ind w:left="720"/>
        <w:jc w:val="both"/>
      </w:pPr>
      <w:r>
        <w:t>Measures include the construction of 2 road bridges, the dualling of the A1290 carriageway along with the internal road network to facilitate the development.</w:t>
      </w:r>
    </w:p>
    <w:p w14:paraId="199FBDEA" w14:textId="77777777" w:rsidR="009B37CB" w:rsidRDefault="009B37CB" w:rsidP="009B37CB">
      <w:pPr>
        <w:pStyle w:val="Style1"/>
        <w:ind w:left="720"/>
        <w:jc w:val="both"/>
      </w:pPr>
      <w:r>
        <w:t>The required highway infrastructure within South Tyneside will come forward as part of a separate planning application from late Summer 2021.</w:t>
      </w:r>
    </w:p>
    <w:p w14:paraId="25D319B3" w14:textId="12AB4447" w:rsidR="009B37CB" w:rsidRDefault="009B37CB" w:rsidP="009B37CB">
      <w:pPr>
        <w:pStyle w:val="Style1"/>
        <w:ind w:left="720"/>
        <w:jc w:val="both"/>
      </w:pPr>
      <w:r>
        <w:t>The funding has been secured through the North East Local Growth Fund and will be implemented over the course of 2022-2025.</w:t>
      </w:r>
    </w:p>
    <w:p w14:paraId="2E8DAB17" w14:textId="77777777" w:rsidR="009B37CB" w:rsidRPr="009B37CB" w:rsidRDefault="009B37CB" w:rsidP="009B37CB">
      <w:pPr>
        <w:pStyle w:val="Style1"/>
        <w:numPr>
          <w:ilvl w:val="0"/>
          <w:numId w:val="24"/>
        </w:numPr>
        <w:jc w:val="both"/>
        <w:rPr>
          <w:b/>
          <w:bCs/>
        </w:rPr>
      </w:pPr>
      <w:r w:rsidRPr="009B37CB">
        <w:rPr>
          <w:b/>
          <w:bCs/>
        </w:rPr>
        <w:t xml:space="preserve">Ultra-Low Emission Charging Points roll-out - £0.25m </w:t>
      </w:r>
    </w:p>
    <w:p w14:paraId="0BE95AA4" w14:textId="77777777" w:rsidR="009B37CB" w:rsidRDefault="009B37CB" w:rsidP="009B37CB">
      <w:pPr>
        <w:pStyle w:val="Style1"/>
        <w:ind w:left="720"/>
        <w:jc w:val="both"/>
      </w:pPr>
      <w:r>
        <w:t>South Tyneside has been successful in bidding for on-street charging point funding through Central Government. This will allow the local authority to further expand the EV charging point network over the course of the 2020/21 period.</w:t>
      </w:r>
    </w:p>
    <w:p w14:paraId="4AFBCA09" w14:textId="6AF29319" w:rsidR="00FC1045" w:rsidRPr="00BB6671" w:rsidRDefault="00BB6671" w:rsidP="009B37CB">
      <w:pPr>
        <w:jc w:val="both"/>
      </w:pPr>
      <w:r>
        <w:t>South Tyneside Council</w:t>
      </w:r>
      <w:r w:rsidR="00FC1045">
        <w:t xml:space="preserve"> anticipates</w:t>
      </w:r>
      <w:r w:rsidR="00FC1045" w:rsidRPr="00C24DBB">
        <w:t xml:space="preserve"> </w:t>
      </w:r>
      <w:r w:rsidR="00FC1045">
        <w:t>that the</w:t>
      </w:r>
      <w:r w:rsidR="00FC1045" w:rsidRPr="00C24DBB">
        <w:t xml:space="preserve"> measures </w:t>
      </w:r>
      <w:r w:rsidR="00FC1045">
        <w:t xml:space="preserve">stated above and in </w:t>
      </w:r>
      <w:r w:rsidR="00FC1045">
        <w:rPr>
          <w:color w:val="2B579A"/>
          <w:shd w:val="clear" w:color="auto" w:fill="E6E6E6"/>
        </w:rPr>
        <w:fldChar w:fldCharType="begin"/>
      </w:r>
      <w:r w:rsidR="00FC1045">
        <w:instrText xml:space="preserve"> REF _Ref55231798 \h </w:instrText>
      </w:r>
      <w:r w:rsidR="00400B0F">
        <w:instrText xml:space="preserve"> \* MERGEFORMAT </w:instrText>
      </w:r>
      <w:r w:rsidR="00FC1045">
        <w:rPr>
          <w:color w:val="2B579A"/>
          <w:shd w:val="clear" w:color="auto" w:fill="E6E6E6"/>
        </w:rPr>
      </w:r>
      <w:r w:rsidR="00FC1045">
        <w:rPr>
          <w:color w:val="2B579A"/>
          <w:shd w:val="clear" w:color="auto" w:fill="E6E6E6"/>
        </w:rPr>
        <w:fldChar w:fldCharType="separate"/>
      </w:r>
      <w:r w:rsidR="0062374A">
        <w:t xml:space="preserve">Table </w:t>
      </w:r>
      <w:r w:rsidR="0062374A">
        <w:rPr>
          <w:noProof/>
        </w:rPr>
        <w:t>2.2</w:t>
      </w:r>
      <w:r w:rsidR="00FC1045">
        <w:rPr>
          <w:color w:val="2B579A"/>
          <w:shd w:val="clear" w:color="auto" w:fill="E6E6E6"/>
        </w:rPr>
        <w:fldChar w:fldCharType="end"/>
      </w:r>
      <w:r w:rsidR="00FC1045">
        <w:t xml:space="preserve"> will</w:t>
      </w:r>
      <w:r w:rsidR="00FC1045" w:rsidRPr="00C24DBB">
        <w:t xml:space="preserve"> </w:t>
      </w:r>
      <w:r w:rsidR="00104373">
        <w:t xml:space="preserve">help to </w:t>
      </w:r>
      <w:r w:rsidR="00B55137">
        <w:t xml:space="preserve">continue to </w:t>
      </w:r>
      <w:r w:rsidR="00FC1045" w:rsidRPr="00C24DBB">
        <w:t xml:space="preserve">achieve compliance </w:t>
      </w:r>
      <w:r w:rsidR="00FC1045">
        <w:t xml:space="preserve">in </w:t>
      </w:r>
      <w:r>
        <w:t>Lindisfarne/Leam Lane and Boldon Lane AQMA’s</w:t>
      </w:r>
    </w:p>
    <w:p w14:paraId="766BC418" w14:textId="77777777" w:rsidR="00B15249" w:rsidRDefault="00B15249" w:rsidP="0062374A">
      <w:pPr>
        <w:pStyle w:val="Heading2"/>
        <w:sectPr w:rsidR="00B15249" w:rsidSect="003172A5">
          <w:footerReference w:type="default" r:id="rId29"/>
          <w:pgSz w:w="11899" w:h="16838" w:code="9"/>
          <w:pgMar w:top="1134" w:right="1134" w:bottom="1134" w:left="1134" w:header="340" w:footer="340" w:gutter="0"/>
          <w:cols w:space="708"/>
          <w:docGrid w:linePitch="326"/>
        </w:sectPr>
      </w:pPr>
    </w:p>
    <w:p w14:paraId="1F4EC521" w14:textId="58D76CEC" w:rsidR="00B15249" w:rsidRDefault="00B15249" w:rsidP="00400B0F">
      <w:pPr>
        <w:pStyle w:val="Caption"/>
      </w:pPr>
      <w:bookmarkStart w:id="37" w:name="_Ref55231798"/>
      <w:bookmarkStart w:id="38" w:name="_Toc67997495"/>
      <w:r>
        <w:t xml:space="preserve">Table </w:t>
      </w:r>
      <w:r w:rsidR="00742944">
        <w:rPr>
          <w:color w:val="2B579A"/>
          <w:shd w:val="clear" w:color="auto" w:fill="E6E6E6"/>
        </w:rPr>
        <w:fldChar w:fldCharType="begin"/>
      </w:r>
      <w:r w:rsidR="00742944">
        <w:rPr>
          <w:noProof/>
        </w:rPr>
        <w:instrText xml:space="preserve"> STYLEREF 1 \s </w:instrText>
      </w:r>
      <w:r w:rsidR="00742944">
        <w:rPr>
          <w:color w:val="2B579A"/>
          <w:shd w:val="clear" w:color="auto" w:fill="E6E6E6"/>
        </w:rPr>
        <w:fldChar w:fldCharType="separate"/>
      </w:r>
      <w:r w:rsidR="0062374A">
        <w:rPr>
          <w:noProof/>
        </w:rPr>
        <w:t>2</w:t>
      </w:r>
      <w:r w:rsidR="00742944">
        <w:rPr>
          <w:color w:val="2B579A"/>
          <w:shd w:val="clear" w:color="auto" w:fill="E6E6E6"/>
        </w:rPr>
        <w:fldChar w:fldCharType="end"/>
      </w:r>
      <w:r w:rsidR="00B36108">
        <w:t>.</w:t>
      </w:r>
      <w:r w:rsidR="00742944">
        <w:rPr>
          <w:color w:val="2B579A"/>
          <w:shd w:val="clear" w:color="auto" w:fill="E6E6E6"/>
        </w:rPr>
        <w:fldChar w:fldCharType="begin"/>
      </w:r>
      <w:r w:rsidR="00742944">
        <w:rPr>
          <w:noProof/>
        </w:rPr>
        <w:instrText xml:space="preserve"> SEQ Table \* ARABIC \s 1 </w:instrText>
      </w:r>
      <w:r w:rsidR="00742944">
        <w:rPr>
          <w:color w:val="2B579A"/>
          <w:shd w:val="clear" w:color="auto" w:fill="E6E6E6"/>
        </w:rPr>
        <w:fldChar w:fldCharType="separate"/>
      </w:r>
      <w:r w:rsidR="0062374A">
        <w:rPr>
          <w:noProof/>
        </w:rPr>
        <w:t>2</w:t>
      </w:r>
      <w:r w:rsidR="00742944">
        <w:rPr>
          <w:color w:val="2B579A"/>
          <w:shd w:val="clear" w:color="auto" w:fill="E6E6E6"/>
        </w:rPr>
        <w:fldChar w:fldCharType="end"/>
      </w:r>
      <w:bookmarkEnd w:id="37"/>
      <w:r>
        <w:t xml:space="preserve"> – </w:t>
      </w:r>
      <w:r w:rsidRPr="00B15249">
        <w:t>Progress on Measures to Improve Air Quality</w:t>
      </w:r>
      <w:bookmarkEnd w:id="38"/>
    </w:p>
    <w:tbl>
      <w:tblPr>
        <w:tblStyle w:val="TableStyle4"/>
        <w:tblW w:w="0" w:type="auto"/>
        <w:jc w:val="center"/>
        <w:tblLook w:val="04A0" w:firstRow="1" w:lastRow="0" w:firstColumn="1" w:lastColumn="0" w:noHBand="0" w:noVBand="1"/>
      </w:tblPr>
      <w:tblGrid>
        <w:gridCol w:w="830"/>
        <w:gridCol w:w="1448"/>
        <w:gridCol w:w="1361"/>
        <w:gridCol w:w="1351"/>
        <w:gridCol w:w="1009"/>
        <w:gridCol w:w="1098"/>
        <w:gridCol w:w="1263"/>
        <w:gridCol w:w="1281"/>
        <w:gridCol w:w="811"/>
        <w:gridCol w:w="811"/>
        <w:gridCol w:w="947"/>
        <w:gridCol w:w="1308"/>
        <w:gridCol w:w="1447"/>
        <w:gridCol w:w="1458"/>
        <w:gridCol w:w="1109"/>
        <w:gridCol w:w="4004"/>
      </w:tblGrid>
      <w:tr w:rsidR="00A26F71" w:rsidRPr="00116356" w14:paraId="6B7F0800" w14:textId="77777777" w:rsidTr="00C36CF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39" w:type="dxa"/>
          </w:tcPr>
          <w:p w14:paraId="2BED58EF" w14:textId="77777777" w:rsidR="001E59A2" w:rsidRPr="00D024C9" w:rsidRDefault="001E59A2" w:rsidP="00F946DA">
            <w:pPr>
              <w:spacing w:before="0" w:after="0" w:line="240" w:lineRule="auto"/>
              <w:rPr>
                <w:sz w:val="16"/>
                <w:szCs w:val="16"/>
              </w:rPr>
            </w:pPr>
            <w:r w:rsidRPr="0DFA524B">
              <w:rPr>
                <w:sz w:val="16"/>
                <w:szCs w:val="16"/>
              </w:rPr>
              <w:t>Measure No.</w:t>
            </w:r>
          </w:p>
        </w:tc>
        <w:tc>
          <w:tcPr>
            <w:tcW w:w="1383" w:type="dxa"/>
          </w:tcPr>
          <w:p w14:paraId="4B798969" w14:textId="77777777"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Measure</w:t>
            </w:r>
          </w:p>
        </w:tc>
        <w:tc>
          <w:tcPr>
            <w:tcW w:w="1490" w:type="dxa"/>
          </w:tcPr>
          <w:p w14:paraId="10997104" w14:textId="1206C992"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Category</w:t>
            </w:r>
          </w:p>
        </w:tc>
        <w:tc>
          <w:tcPr>
            <w:tcW w:w="1546" w:type="dxa"/>
          </w:tcPr>
          <w:p w14:paraId="69916132" w14:textId="3BC29335"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Classification</w:t>
            </w:r>
          </w:p>
        </w:tc>
        <w:tc>
          <w:tcPr>
            <w:tcW w:w="1102" w:type="dxa"/>
          </w:tcPr>
          <w:p w14:paraId="0A4506AD" w14:textId="32963A56" w:rsidR="001E59A2" w:rsidRPr="001724B8"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szCs w:val="20"/>
              </w:rPr>
            </w:pPr>
            <w:r w:rsidRPr="001724B8">
              <w:rPr>
                <w:sz w:val="16"/>
              </w:rPr>
              <w:t xml:space="preserve">Year Measure </w:t>
            </w:r>
            <w:r w:rsidR="00C56B6C">
              <w:rPr>
                <w:sz w:val="16"/>
              </w:rPr>
              <w:t>Introduced</w:t>
            </w:r>
          </w:p>
        </w:tc>
        <w:tc>
          <w:tcPr>
            <w:tcW w:w="1126" w:type="dxa"/>
          </w:tcPr>
          <w:p w14:paraId="094AA498" w14:textId="68CE7C03" w:rsidR="001E59A2" w:rsidRPr="001724B8"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1724B8">
              <w:rPr>
                <w:sz w:val="16"/>
              </w:rPr>
              <w:t>Estimated / Actual Completion Year</w:t>
            </w:r>
          </w:p>
        </w:tc>
        <w:tc>
          <w:tcPr>
            <w:tcW w:w="1646" w:type="dxa"/>
          </w:tcPr>
          <w:p w14:paraId="0F98FE23" w14:textId="4848C62A"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 xml:space="preserve">Organisations </w:t>
            </w:r>
            <w:r w:rsidR="00C56B6C">
              <w:rPr>
                <w:sz w:val="16"/>
              </w:rPr>
              <w:t>I</w:t>
            </w:r>
            <w:r w:rsidRPr="00D024C9">
              <w:rPr>
                <w:sz w:val="16"/>
              </w:rPr>
              <w:t>nvolved</w:t>
            </w:r>
          </w:p>
        </w:tc>
        <w:tc>
          <w:tcPr>
            <w:tcW w:w="1013" w:type="dxa"/>
          </w:tcPr>
          <w:p w14:paraId="68A5F799" w14:textId="5F850D96"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16"/>
              </w:rPr>
            </w:pPr>
            <w:r>
              <w:rPr>
                <w:b w:val="0"/>
                <w:sz w:val="16"/>
              </w:rPr>
              <w:t>Funding Source</w:t>
            </w:r>
          </w:p>
        </w:tc>
        <w:tc>
          <w:tcPr>
            <w:tcW w:w="812" w:type="dxa"/>
          </w:tcPr>
          <w:p w14:paraId="4218AAA8" w14:textId="46A297F1"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16"/>
              </w:rPr>
            </w:pPr>
            <w:r>
              <w:rPr>
                <w:b w:val="0"/>
                <w:sz w:val="16"/>
              </w:rPr>
              <w:t>Defra AQ Grant Funding</w:t>
            </w:r>
          </w:p>
        </w:tc>
        <w:tc>
          <w:tcPr>
            <w:tcW w:w="812" w:type="dxa"/>
          </w:tcPr>
          <w:p w14:paraId="7B5A50EA" w14:textId="5817C3C5"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Pr>
                <w:sz w:val="16"/>
              </w:rPr>
              <w:t>Funding Status</w:t>
            </w:r>
          </w:p>
        </w:tc>
        <w:tc>
          <w:tcPr>
            <w:tcW w:w="1069" w:type="dxa"/>
          </w:tcPr>
          <w:p w14:paraId="30964A9A" w14:textId="25314B17"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16"/>
              </w:rPr>
            </w:pPr>
            <w:r>
              <w:rPr>
                <w:b w:val="0"/>
                <w:sz w:val="16"/>
              </w:rPr>
              <w:t>Estimated Cost of Measure</w:t>
            </w:r>
          </w:p>
        </w:tc>
        <w:tc>
          <w:tcPr>
            <w:tcW w:w="1084" w:type="dxa"/>
          </w:tcPr>
          <w:p w14:paraId="52DF16CB" w14:textId="024CC389"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Pr>
                <w:sz w:val="16"/>
              </w:rPr>
              <w:t>Measure Status</w:t>
            </w:r>
          </w:p>
        </w:tc>
        <w:tc>
          <w:tcPr>
            <w:tcW w:w="1531" w:type="dxa"/>
          </w:tcPr>
          <w:p w14:paraId="537A5844" w14:textId="77777777"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Reduction in Pollutant / Emission from Measure</w:t>
            </w:r>
          </w:p>
        </w:tc>
        <w:tc>
          <w:tcPr>
            <w:tcW w:w="1362" w:type="dxa"/>
          </w:tcPr>
          <w:p w14:paraId="1798FF79" w14:textId="04A1D9DF"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Key Performance Indicator</w:t>
            </w:r>
          </w:p>
        </w:tc>
        <w:tc>
          <w:tcPr>
            <w:tcW w:w="1480" w:type="dxa"/>
          </w:tcPr>
          <w:p w14:paraId="638D8578" w14:textId="42EE1C96"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Progress to Date</w:t>
            </w:r>
          </w:p>
        </w:tc>
        <w:tc>
          <w:tcPr>
            <w:tcW w:w="3241" w:type="dxa"/>
          </w:tcPr>
          <w:p w14:paraId="4746357E" w14:textId="57112ED4" w:rsidR="001E59A2" w:rsidRPr="00D024C9" w:rsidRDefault="001E59A2" w:rsidP="00F946DA">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 xml:space="preserve">Comments / Barriers to </w:t>
            </w:r>
            <w:r w:rsidR="00D324A2">
              <w:rPr>
                <w:sz w:val="16"/>
              </w:rPr>
              <w:t>I</w:t>
            </w:r>
            <w:r w:rsidR="00D324A2" w:rsidRPr="00D024C9">
              <w:rPr>
                <w:sz w:val="16"/>
              </w:rPr>
              <w:t>mplementation</w:t>
            </w:r>
          </w:p>
        </w:tc>
      </w:tr>
      <w:tr w:rsidR="00F946DA" w:rsidRPr="00116356" w14:paraId="2D830B7F"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46A81396" w14:textId="7CEF398A" w:rsidR="00F946DA" w:rsidRPr="00A26F71" w:rsidRDefault="00F946DA" w:rsidP="00F946DA">
            <w:pPr>
              <w:spacing w:before="0" w:after="0" w:line="240" w:lineRule="auto"/>
              <w:rPr>
                <w:color w:val="FF0000"/>
                <w:sz w:val="20"/>
                <w:szCs w:val="20"/>
              </w:rPr>
            </w:pPr>
            <w:r w:rsidRPr="00A26F71">
              <w:rPr>
                <w:sz w:val="20"/>
                <w:szCs w:val="20"/>
              </w:rPr>
              <w:t>1</w:t>
            </w:r>
          </w:p>
        </w:tc>
        <w:tc>
          <w:tcPr>
            <w:tcW w:w="1383" w:type="dxa"/>
          </w:tcPr>
          <w:p w14:paraId="39044EE3" w14:textId="338E1AE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North East Freight Quality Partnership</w:t>
            </w:r>
          </w:p>
        </w:tc>
        <w:tc>
          <w:tcPr>
            <w:tcW w:w="1490" w:type="dxa"/>
          </w:tcPr>
          <w:p w14:paraId="75533BCB" w14:textId="67C72C6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Freight and Delivery Management</w:t>
            </w:r>
          </w:p>
        </w:tc>
        <w:tc>
          <w:tcPr>
            <w:tcW w:w="1546" w:type="dxa"/>
          </w:tcPr>
          <w:p w14:paraId="354A38AA"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Delivery and </w:t>
            </w:r>
          </w:p>
          <w:p w14:paraId="1529D914" w14:textId="7B6CA8E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Service plans</w:t>
            </w:r>
          </w:p>
        </w:tc>
        <w:tc>
          <w:tcPr>
            <w:tcW w:w="1102" w:type="dxa"/>
          </w:tcPr>
          <w:p w14:paraId="7B175916"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North East Combined Authority  </w:t>
            </w:r>
          </w:p>
          <w:p w14:paraId="568D1F0F" w14:textId="49C1960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(NECA)</w:t>
            </w:r>
          </w:p>
        </w:tc>
        <w:tc>
          <w:tcPr>
            <w:tcW w:w="1126" w:type="dxa"/>
            <w:tcBorders>
              <w:top w:val="nil"/>
              <w:left w:val="nil"/>
              <w:bottom w:val="single" w:sz="8" w:space="0" w:color="auto"/>
              <w:right w:val="single" w:sz="8" w:space="0" w:color="auto"/>
            </w:tcBorders>
          </w:tcPr>
          <w:p w14:paraId="01799156" w14:textId="1FCE712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5AE05948"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North East Combined Authority  </w:t>
            </w:r>
          </w:p>
          <w:p w14:paraId="2FC94525" w14:textId="6BCDFFB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(NECA)</w:t>
            </w:r>
          </w:p>
        </w:tc>
        <w:tc>
          <w:tcPr>
            <w:tcW w:w="1013" w:type="dxa"/>
          </w:tcPr>
          <w:p w14:paraId="192ED2F9" w14:textId="31271CC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346050C8" w14:textId="448801F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576E590F" w14:textId="30BF59D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56EE14F4" w14:textId="37E7288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Pr>
          <w:p w14:paraId="3F5B77C4" w14:textId="6383976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531" w:type="dxa"/>
            <w:tcBorders>
              <w:top w:val="nil"/>
              <w:left w:val="nil"/>
              <w:bottom w:val="single" w:sz="8" w:space="0" w:color="auto"/>
              <w:right w:val="single" w:sz="8" w:space="0" w:color="auto"/>
            </w:tcBorders>
          </w:tcPr>
          <w:p w14:paraId="330E7E29" w14:textId="6CC1624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nil"/>
              <w:left w:val="nil"/>
              <w:bottom w:val="single" w:sz="8" w:space="0" w:color="auto"/>
              <w:right w:val="single" w:sz="8" w:space="0" w:color="auto"/>
            </w:tcBorders>
          </w:tcPr>
          <w:p w14:paraId="4E0AAA35" w14:textId="47E6154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Measures to assist freight movements including freight consolidation centres</w:t>
            </w:r>
          </w:p>
        </w:tc>
        <w:tc>
          <w:tcPr>
            <w:tcW w:w="1480" w:type="dxa"/>
            <w:tcBorders>
              <w:top w:val="nil"/>
              <w:left w:val="nil"/>
              <w:bottom w:val="single" w:sz="8" w:space="0" w:color="auto"/>
              <w:right w:val="single" w:sz="8" w:space="0" w:color="auto"/>
            </w:tcBorders>
          </w:tcPr>
          <w:p w14:paraId="0A309FC1" w14:textId="117966B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nil"/>
              <w:left w:val="nil"/>
              <w:bottom w:val="single" w:sz="8" w:space="0" w:color="auto"/>
              <w:right w:val="single" w:sz="8" w:space="0" w:color="auto"/>
            </w:tcBorders>
          </w:tcPr>
          <w:p w14:paraId="066D6331" w14:textId="5DE739BB" w:rsidR="00F946DA" w:rsidRPr="00A26F71" w:rsidRDefault="00B6413C"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hyperlink r:id="rId30" w:history="1">
              <w:r w:rsidR="00F946DA" w:rsidRPr="00A26F71">
                <w:rPr>
                  <w:rStyle w:val="Hyperlink"/>
                  <w:sz w:val="20"/>
                  <w:szCs w:val="20"/>
                </w:rPr>
                <w:t>http://www.northeastfreightpartnership.info/</w:t>
              </w:r>
            </w:hyperlink>
          </w:p>
        </w:tc>
      </w:tr>
      <w:tr w:rsidR="00F946DA" w:rsidRPr="00116356" w14:paraId="2866DBF8"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175CBF8F" w14:textId="4236252A" w:rsidR="00F946DA" w:rsidRPr="00A26F71" w:rsidRDefault="00F946DA" w:rsidP="00F946DA">
            <w:pPr>
              <w:spacing w:before="0" w:after="0" w:line="240" w:lineRule="auto"/>
              <w:rPr>
                <w:color w:val="FF0000"/>
                <w:sz w:val="20"/>
                <w:szCs w:val="20"/>
              </w:rPr>
            </w:pPr>
            <w:r w:rsidRPr="00A26F71">
              <w:rPr>
                <w:sz w:val="20"/>
                <w:szCs w:val="20"/>
              </w:rPr>
              <w:t>2</w:t>
            </w:r>
          </w:p>
        </w:tc>
        <w:tc>
          <w:tcPr>
            <w:tcW w:w="1383" w:type="dxa"/>
          </w:tcPr>
          <w:p w14:paraId="5C2DA22C" w14:textId="597F4CF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North East Freight Maps</w:t>
            </w:r>
          </w:p>
        </w:tc>
        <w:tc>
          <w:tcPr>
            <w:tcW w:w="1490" w:type="dxa"/>
          </w:tcPr>
          <w:p w14:paraId="5DB347ED" w14:textId="376714E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Freight and Delivery Management</w:t>
            </w:r>
          </w:p>
        </w:tc>
        <w:tc>
          <w:tcPr>
            <w:tcW w:w="1546" w:type="dxa"/>
          </w:tcPr>
          <w:p w14:paraId="3142EED7"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Route </w:t>
            </w:r>
          </w:p>
          <w:p w14:paraId="41DB360D" w14:textId="6FD182D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Management Plans/ Strategic routing strategy for HGV's</w:t>
            </w:r>
          </w:p>
        </w:tc>
        <w:tc>
          <w:tcPr>
            <w:tcW w:w="1102" w:type="dxa"/>
          </w:tcPr>
          <w:p w14:paraId="008CAC28" w14:textId="2F8FD37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NECA</w:t>
            </w:r>
          </w:p>
        </w:tc>
        <w:tc>
          <w:tcPr>
            <w:tcW w:w="1126" w:type="dxa"/>
            <w:tcBorders>
              <w:top w:val="nil"/>
              <w:left w:val="nil"/>
              <w:bottom w:val="single" w:sz="8" w:space="0" w:color="auto"/>
              <w:right w:val="single" w:sz="8" w:space="0" w:color="auto"/>
            </w:tcBorders>
          </w:tcPr>
          <w:p w14:paraId="11B55A3B" w14:textId="4882351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7553442D" w14:textId="11638A4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NECA</w:t>
            </w:r>
          </w:p>
        </w:tc>
        <w:tc>
          <w:tcPr>
            <w:tcW w:w="1013" w:type="dxa"/>
          </w:tcPr>
          <w:p w14:paraId="7CED5445" w14:textId="3A0BD56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37C6E77C" w14:textId="7306E05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166B5BC6" w14:textId="69D9DA4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0CD2314C" w14:textId="659799C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Pr>
          <w:p w14:paraId="2FAC8449" w14:textId="19E89F2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531" w:type="dxa"/>
            <w:tcBorders>
              <w:top w:val="nil"/>
              <w:left w:val="nil"/>
              <w:bottom w:val="single" w:sz="8" w:space="0" w:color="auto"/>
              <w:right w:val="single" w:sz="8" w:space="0" w:color="auto"/>
            </w:tcBorders>
          </w:tcPr>
          <w:p w14:paraId="085BB7B2" w14:textId="5A4B767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nil"/>
              <w:left w:val="nil"/>
              <w:bottom w:val="single" w:sz="8" w:space="0" w:color="auto"/>
              <w:right w:val="single" w:sz="8" w:space="0" w:color="auto"/>
            </w:tcBorders>
          </w:tcPr>
          <w:p w14:paraId="41A2CC9B" w14:textId="60CA17C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Limiting  freight movements to the strategic routes around the region</w:t>
            </w:r>
          </w:p>
        </w:tc>
        <w:tc>
          <w:tcPr>
            <w:tcW w:w="1480" w:type="dxa"/>
            <w:tcBorders>
              <w:top w:val="nil"/>
              <w:left w:val="nil"/>
              <w:bottom w:val="single" w:sz="8" w:space="0" w:color="auto"/>
              <w:right w:val="single" w:sz="8" w:space="0" w:color="auto"/>
            </w:tcBorders>
          </w:tcPr>
          <w:p w14:paraId="1D901ED7" w14:textId="009043A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nil"/>
              <w:left w:val="nil"/>
              <w:bottom w:val="single" w:sz="8" w:space="0" w:color="auto"/>
              <w:right w:val="single" w:sz="8" w:space="0" w:color="auto"/>
            </w:tcBorders>
          </w:tcPr>
          <w:p w14:paraId="21EDD03A" w14:textId="77777777" w:rsidR="00F946DA" w:rsidRPr="00A26F71" w:rsidRDefault="00B6413C"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inorHAnsi" w:cs="Arial"/>
                <w:color w:val="1F497D"/>
                <w:sz w:val="20"/>
                <w:szCs w:val="20"/>
              </w:rPr>
            </w:pPr>
            <w:hyperlink r:id="rId31" w:history="1">
              <w:r w:rsidR="00F946DA" w:rsidRPr="00A26F71">
                <w:rPr>
                  <w:rStyle w:val="Hyperlink"/>
                  <w:sz w:val="20"/>
                  <w:szCs w:val="20"/>
                </w:rPr>
                <w:t>http://www.northeastfreightpartnership.info/</w:t>
              </w:r>
            </w:hyperlink>
          </w:p>
          <w:p w14:paraId="3CFBF15A" w14:textId="3980EC1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671564E3"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64C354FE" w14:textId="3ACC35E7" w:rsidR="00F946DA" w:rsidRPr="00A26F71" w:rsidRDefault="00F946DA" w:rsidP="00F946DA">
            <w:pPr>
              <w:spacing w:before="0" w:after="0" w:line="240" w:lineRule="auto"/>
              <w:rPr>
                <w:sz w:val="20"/>
                <w:szCs w:val="20"/>
              </w:rPr>
            </w:pPr>
            <w:r w:rsidRPr="00A26F71">
              <w:rPr>
                <w:sz w:val="20"/>
                <w:szCs w:val="20"/>
              </w:rPr>
              <w:t>3</w:t>
            </w:r>
          </w:p>
        </w:tc>
        <w:tc>
          <w:tcPr>
            <w:tcW w:w="1383" w:type="dxa"/>
          </w:tcPr>
          <w:p w14:paraId="34A07AB4" w14:textId="473CA5C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Set up a multi-disciplinary air quality steering group to drive forward STC clean air agenda</w:t>
            </w:r>
          </w:p>
        </w:tc>
        <w:tc>
          <w:tcPr>
            <w:tcW w:w="1490" w:type="dxa"/>
          </w:tcPr>
          <w:p w14:paraId="0B90217D" w14:textId="7CB17CD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Policy Guidance and Development Control</w:t>
            </w:r>
          </w:p>
        </w:tc>
        <w:tc>
          <w:tcPr>
            <w:tcW w:w="1546" w:type="dxa"/>
          </w:tcPr>
          <w:p w14:paraId="33616093" w14:textId="401030DB"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Regional Groups co-ordinating programmes to develop area wide strategies to reduce emissions and improve air quality</w:t>
            </w:r>
          </w:p>
        </w:tc>
        <w:tc>
          <w:tcPr>
            <w:tcW w:w="1102" w:type="dxa"/>
          </w:tcPr>
          <w:p w14:paraId="39C2A8AA" w14:textId="482F241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7BCD639C" w14:textId="463B35A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Ongoing </w:t>
            </w:r>
          </w:p>
        </w:tc>
        <w:tc>
          <w:tcPr>
            <w:tcW w:w="1646" w:type="dxa"/>
            <w:tcBorders>
              <w:top w:val="single" w:sz="4" w:space="0" w:color="auto"/>
              <w:left w:val="single" w:sz="4" w:space="0" w:color="auto"/>
              <w:bottom w:val="single" w:sz="4" w:space="0" w:color="auto"/>
              <w:right w:val="single" w:sz="4" w:space="0" w:color="auto"/>
            </w:tcBorders>
          </w:tcPr>
          <w:p w14:paraId="1173606B" w14:textId="32BB82D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1246AF62" w14:textId="03F2514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3CC2F328" w14:textId="0225450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1DF713FC" w14:textId="6AD4BE8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2AC664D8" w14:textId="7E9F383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Pr>
          <w:p w14:paraId="18177216"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531" w:type="dxa"/>
            <w:tcBorders>
              <w:top w:val="single" w:sz="8" w:space="0" w:color="auto"/>
              <w:left w:val="nil"/>
              <w:bottom w:val="single" w:sz="4" w:space="0" w:color="auto"/>
              <w:right w:val="single" w:sz="8" w:space="0" w:color="auto"/>
            </w:tcBorders>
          </w:tcPr>
          <w:p w14:paraId="568071A2" w14:textId="1C0D057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1894442C" w14:textId="43FF443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Ensure that all external funding opportunities are considered</w:t>
            </w:r>
          </w:p>
        </w:tc>
        <w:tc>
          <w:tcPr>
            <w:tcW w:w="1480" w:type="dxa"/>
            <w:tcBorders>
              <w:top w:val="single" w:sz="8" w:space="0" w:color="auto"/>
              <w:left w:val="nil"/>
              <w:bottom w:val="single" w:sz="4" w:space="0" w:color="auto"/>
              <w:right w:val="single" w:sz="8" w:space="0" w:color="auto"/>
            </w:tcBorders>
          </w:tcPr>
          <w:p w14:paraId="0B080A2E" w14:textId="3B5A03E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Ongoing </w:t>
            </w:r>
          </w:p>
        </w:tc>
        <w:tc>
          <w:tcPr>
            <w:tcW w:w="3241" w:type="dxa"/>
            <w:tcBorders>
              <w:top w:val="single" w:sz="8" w:space="0" w:color="auto"/>
              <w:left w:val="nil"/>
              <w:bottom w:val="single" w:sz="4" w:space="0" w:color="auto"/>
              <w:right w:val="single" w:sz="8" w:space="0" w:color="auto"/>
            </w:tcBorders>
          </w:tcPr>
          <w:p w14:paraId="4E7B310B" w14:textId="0754B60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Quarterly meeting undertaken</w:t>
            </w:r>
          </w:p>
        </w:tc>
      </w:tr>
      <w:tr w:rsidR="00F946DA" w:rsidRPr="00116356" w14:paraId="3704455B"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0944F654" w14:textId="39E58CC6" w:rsidR="00F946DA" w:rsidRPr="00A26F71" w:rsidRDefault="00F946DA" w:rsidP="00F946DA">
            <w:pPr>
              <w:spacing w:before="0" w:after="0" w:line="240" w:lineRule="auto"/>
              <w:rPr>
                <w:sz w:val="20"/>
                <w:szCs w:val="20"/>
              </w:rPr>
            </w:pPr>
            <w:r w:rsidRPr="00A26F71">
              <w:rPr>
                <w:sz w:val="20"/>
                <w:szCs w:val="20"/>
              </w:rPr>
              <w:t>4</w:t>
            </w:r>
          </w:p>
        </w:tc>
        <w:tc>
          <w:tcPr>
            <w:tcW w:w="1383" w:type="dxa"/>
          </w:tcPr>
          <w:p w14:paraId="35AAA538" w14:textId="3656642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Set Up a Regional Air Quality Group</w:t>
            </w:r>
          </w:p>
        </w:tc>
        <w:tc>
          <w:tcPr>
            <w:tcW w:w="1490" w:type="dxa"/>
          </w:tcPr>
          <w:p w14:paraId="6E9131BA" w14:textId="2B4D901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Policy Guidance and Development Control</w:t>
            </w:r>
          </w:p>
        </w:tc>
        <w:tc>
          <w:tcPr>
            <w:tcW w:w="1546" w:type="dxa"/>
          </w:tcPr>
          <w:p w14:paraId="532DAB59" w14:textId="599DFE0D"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Regional Groups co-ordinating programmes to develop area wide strategies to reduce emissions and improve air quality</w:t>
            </w:r>
          </w:p>
        </w:tc>
        <w:tc>
          <w:tcPr>
            <w:tcW w:w="1102" w:type="dxa"/>
          </w:tcPr>
          <w:p w14:paraId="1A135C10" w14:textId="1D2812F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NECA</w:t>
            </w:r>
          </w:p>
        </w:tc>
        <w:tc>
          <w:tcPr>
            <w:tcW w:w="1126" w:type="dxa"/>
            <w:tcBorders>
              <w:top w:val="single" w:sz="8" w:space="0" w:color="auto"/>
              <w:left w:val="nil"/>
              <w:bottom w:val="single" w:sz="4" w:space="0" w:color="auto"/>
              <w:right w:val="single" w:sz="8" w:space="0" w:color="auto"/>
            </w:tcBorders>
          </w:tcPr>
          <w:p w14:paraId="73BF8669" w14:textId="68871FE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1594579E" w14:textId="5E96E71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NECA</w:t>
            </w:r>
          </w:p>
        </w:tc>
        <w:tc>
          <w:tcPr>
            <w:tcW w:w="1013" w:type="dxa"/>
          </w:tcPr>
          <w:p w14:paraId="76F20A68" w14:textId="3D3C4C4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3E8638F5" w14:textId="4D481A5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3E43EE8A" w14:textId="6227327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4F22EE50" w14:textId="14C7647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Pr>
          <w:p w14:paraId="0A1D4629"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531" w:type="dxa"/>
            <w:tcBorders>
              <w:top w:val="single" w:sz="8" w:space="0" w:color="auto"/>
              <w:left w:val="nil"/>
              <w:bottom w:val="single" w:sz="4" w:space="0" w:color="auto"/>
              <w:right w:val="single" w:sz="8" w:space="0" w:color="auto"/>
            </w:tcBorders>
          </w:tcPr>
          <w:p w14:paraId="2019573B" w14:textId="3A980D6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07343F17" w14:textId="32E82BA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Ensure that air quality is considered in a trans boundary manner, maximise funding opportunities for combined authority bids</w:t>
            </w:r>
          </w:p>
        </w:tc>
        <w:tc>
          <w:tcPr>
            <w:tcW w:w="1480" w:type="dxa"/>
            <w:tcBorders>
              <w:top w:val="single" w:sz="8" w:space="0" w:color="auto"/>
              <w:left w:val="nil"/>
              <w:bottom w:val="single" w:sz="4" w:space="0" w:color="auto"/>
              <w:right w:val="single" w:sz="8" w:space="0" w:color="auto"/>
            </w:tcBorders>
          </w:tcPr>
          <w:p w14:paraId="7A6501DC" w14:textId="57D7B66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10055115" w14:textId="097C9BE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Regular meetings</w:t>
            </w:r>
          </w:p>
        </w:tc>
      </w:tr>
      <w:tr w:rsidR="00F946DA" w:rsidRPr="00116356" w14:paraId="56E3A909"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49A8959D" w14:textId="76D8AAD6" w:rsidR="00F946DA" w:rsidRPr="00A26F71" w:rsidRDefault="00F946DA" w:rsidP="00F946DA">
            <w:pPr>
              <w:spacing w:before="0" w:after="0" w:line="240" w:lineRule="auto"/>
              <w:rPr>
                <w:sz w:val="20"/>
                <w:szCs w:val="20"/>
              </w:rPr>
            </w:pPr>
            <w:r w:rsidRPr="00A26F71">
              <w:rPr>
                <w:sz w:val="20"/>
                <w:szCs w:val="20"/>
              </w:rPr>
              <w:t>5</w:t>
            </w:r>
          </w:p>
        </w:tc>
        <w:tc>
          <w:tcPr>
            <w:tcW w:w="1383" w:type="dxa"/>
          </w:tcPr>
          <w:p w14:paraId="6380920F" w14:textId="711EDB8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Local Air Quality Strategy</w:t>
            </w:r>
          </w:p>
        </w:tc>
        <w:tc>
          <w:tcPr>
            <w:tcW w:w="1490" w:type="dxa"/>
          </w:tcPr>
          <w:p w14:paraId="5670241D" w14:textId="47D80F8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Policy Guidance and Development Control</w:t>
            </w:r>
          </w:p>
        </w:tc>
        <w:tc>
          <w:tcPr>
            <w:tcW w:w="1546" w:type="dxa"/>
          </w:tcPr>
          <w:p w14:paraId="27263E22" w14:textId="46D866EA"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Air Quality Planning and Policy Guidance</w:t>
            </w:r>
          </w:p>
        </w:tc>
        <w:tc>
          <w:tcPr>
            <w:tcW w:w="1102" w:type="dxa"/>
          </w:tcPr>
          <w:p w14:paraId="012A70C7" w14:textId="76F0F3A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54352E46" w14:textId="22DF32D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Oct 2021</w:t>
            </w:r>
          </w:p>
        </w:tc>
        <w:tc>
          <w:tcPr>
            <w:tcW w:w="1646" w:type="dxa"/>
            <w:tcBorders>
              <w:top w:val="single" w:sz="4" w:space="0" w:color="auto"/>
              <w:left w:val="single" w:sz="4" w:space="0" w:color="auto"/>
              <w:bottom w:val="single" w:sz="4" w:space="0" w:color="auto"/>
              <w:right w:val="single" w:sz="4" w:space="0" w:color="auto"/>
            </w:tcBorders>
          </w:tcPr>
          <w:p w14:paraId="173D252D" w14:textId="5E2C42A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1FC7E3F3" w14:textId="4066A27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5280A862" w14:textId="3C72A82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2CC89FE7" w14:textId="15A90D7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27AB34C4" w14:textId="1175BA3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Pr>
          <w:p w14:paraId="6E14007E"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531" w:type="dxa"/>
            <w:tcBorders>
              <w:top w:val="single" w:sz="8" w:space="0" w:color="auto"/>
              <w:left w:val="nil"/>
              <w:bottom w:val="single" w:sz="4" w:space="0" w:color="auto"/>
              <w:right w:val="single" w:sz="8" w:space="0" w:color="auto"/>
            </w:tcBorders>
          </w:tcPr>
          <w:p w14:paraId="1063D1F2" w14:textId="7646504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No Direct Improvement </w:t>
            </w:r>
          </w:p>
        </w:tc>
        <w:tc>
          <w:tcPr>
            <w:tcW w:w="1362" w:type="dxa"/>
            <w:tcBorders>
              <w:top w:val="single" w:sz="8" w:space="0" w:color="auto"/>
              <w:left w:val="nil"/>
              <w:bottom w:val="single" w:sz="4" w:space="0" w:color="auto"/>
              <w:right w:val="single" w:sz="8" w:space="0" w:color="auto"/>
            </w:tcBorders>
          </w:tcPr>
          <w:p w14:paraId="6079E13E" w14:textId="7CD5A1C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480" w:type="dxa"/>
            <w:tcBorders>
              <w:top w:val="single" w:sz="8" w:space="0" w:color="auto"/>
              <w:left w:val="nil"/>
              <w:bottom w:val="single" w:sz="4" w:space="0" w:color="auto"/>
              <w:right w:val="single" w:sz="8" w:space="0" w:color="auto"/>
            </w:tcBorders>
          </w:tcPr>
          <w:p w14:paraId="3EC2E76F" w14:textId="0C75BFA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Oct 2021</w:t>
            </w:r>
          </w:p>
        </w:tc>
        <w:tc>
          <w:tcPr>
            <w:tcW w:w="3241" w:type="dxa"/>
            <w:tcBorders>
              <w:top w:val="single" w:sz="8" w:space="0" w:color="auto"/>
              <w:left w:val="nil"/>
              <w:bottom w:val="single" w:sz="4" w:space="0" w:color="auto"/>
              <w:right w:val="single" w:sz="8" w:space="0" w:color="auto"/>
            </w:tcBorders>
          </w:tcPr>
          <w:p w14:paraId="563553FB"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4D2C5513"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2A360EB7" w14:textId="38C8A400" w:rsidR="00F946DA" w:rsidRPr="00A26F71" w:rsidRDefault="00F946DA" w:rsidP="00F946DA">
            <w:pPr>
              <w:spacing w:before="0" w:after="0" w:line="240" w:lineRule="auto"/>
              <w:rPr>
                <w:sz w:val="20"/>
                <w:szCs w:val="20"/>
              </w:rPr>
            </w:pPr>
            <w:r w:rsidRPr="00A26F71">
              <w:rPr>
                <w:sz w:val="20"/>
                <w:szCs w:val="20"/>
              </w:rPr>
              <w:t>6</w:t>
            </w:r>
          </w:p>
        </w:tc>
        <w:tc>
          <w:tcPr>
            <w:tcW w:w="1383" w:type="dxa"/>
          </w:tcPr>
          <w:p w14:paraId="76DF57BF" w14:textId="044875A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Ensure Air Quality is considered at pre application stage to allow effective use of planning conditions</w:t>
            </w:r>
          </w:p>
        </w:tc>
        <w:tc>
          <w:tcPr>
            <w:tcW w:w="1490" w:type="dxa"/>
          </w:tcPr>
          <w:p w14:paraId="71362F59" w14:textId="6AD5955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Policy Guidance and Development Control</w:t>
            </w:r>
          </w:p>
        </w:tc>
        <w:tc>
          <w:tcPr>
            <w:tcW w:w="1546" w:type="dxa"/>
          </w:tcPr>
          <w:p w14:paraId="46C35800" w14:textId="1ECE8A50"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Air Quality Planning and Policy Guidance</w:t>
            </w:r>
          </w:p>
        </w:tc>
        <w:tc>
          <w:tcPr>
            <w:tcW w:w="1102" w:type="dxa"/>
          </w:tcPr>
          <w:p w14:paraId="4F13DCC7" w14:textId="749CEDF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4809A3E5" w14:textId="67AE20B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34E16DB8" w14:textId="6306170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473B0A67" w14:textId="6C76783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3F0AF419" w14:textId="17EFEAA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22434564" w14:textId="6A0A7D9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09C9CCCC" w14:textId="2F819B3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Pr>
          <w:p w14:paraId="1DC25BD1"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531" w:type="dxa"/>
            <w:tcBorders>
              <w:top w:val="single" w:sz="8" w:space="0" w:color="auto"/>
              <w:left w:val="nil"/>
              <w:bottom w:val="single" w:sz="4" w:space="0" w:color="auto"/>
              <w:right w:val="single" w:sz="8" w:space="0" w:color="auto"/>
            </w:tcBorders>
          </w:tcPr>
          <w:p w14:paraId="4449331F" w14:textId="028382C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473B1011" w14:textId="0FDE5D7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Ensure all planning applications comply with requirements to ensure air quality is not adversely affected by development</w:t>
            </w:r>
          </w:p>
        </w:tc>
        <w:tc>
          <w:tcPr>
            <w:tcW w:w="1480" w:type="dxa"/>
            <w:tcBorders>
              <w:top w:val="single" w:sz="8" w:space="0" w:color="auto"/>
              <w:left w:val="nil"/>
              <w:bottom w:val="single" w:sz="4" w:space="0" w:color="auto"/>
              <w:right w:val="single" w:sz="8" w:space="0" w:color="auto"/>
            </w:tcBorders>
          </w:tcPr>
          <w:p w14:paraId="3FE433EB" w14:textId="1C45BE7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30A88CBF"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0045B3A7" w14:textId="77777777" w:rsidTr="00DC476D">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685A5217" w14:textId="0D09B4C9" w:rsidR="00F946DA" w:rsidRPr="00A26F71" w:rsidRDefault="00F946DA" w:rsidP="00F946DA">
            <w:pPr>
              <w:spacing w:before="0" w:after="0" w:line="240" w:lineRule="auto"/>
              <w:rPr>
                <w:sz w:val="20"/>
                <w:szCs w:val="20"/>
              </w:rPr>
            </w:pPr>
            <w:r w:rsidRPr="00A26F71">
              <w:rPr>
                <w:sz w:val="20"/>
                <w:szCs w:val="20"/>
              </w:rPr>
              <w:t>7</w:t>
            </w:r>
          </w:p>
        </w:tc>
        <w:tc>
          <w:tcPr>
            <w:tcW w:w="1383" w:type="dxa"/>
          </w:tcPr>
          <w:p w14:paraId="6C0C2148" w14:textId="48692F7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Completion of the Local Delivery Plan and Infrastructure delivery plan</w:t>
            </w:r>
          </w:p>
        </w:tc>
        <w:tc>
          <w:tcPr>
            <w:tcW w:w="1490" w:type="dxa"/>
          </w:tcPr>
          <w:p w14:paraId="2865BAB3" w14:textId="064E525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Policy Guidance and Development Control</w:t>
            </w:r>
          </w:p>
        </w:tc>
        <w:tc>
          <w:tcPr>
            <w:tcW w:w="1546" w:type="dxa"/>
          </w:tcPr>
          <w:p w14:paraId="61B81C19" w14:textId="05B9C30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Air Quality Planning and Policy Guidance</w:t>
            </w:r>
          </w:p>
        </w:tc>
        <w:tc>
          <w:tcPr>
            <w:tcW w:w="1102" w:type="dxa"/>
          </w:tcPr>
          <w:p w14:paraId="6F1AD853" w14:textId="427B9AD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73E9E1E8" w14:textId="1E2B138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2022</w:t>
            </w:r>
          </w:p>
        </w:tc>
        <w:tc>
          <w:tcPr>
            <w:tcW w:w="1646" w:type="dxa"/>
            <w:tcBorders>
              <w:top w:val="single" w:sz="4" w:space="0" w:color="auto"/>
              <w:left w:val="single" w:sz="4" w:space="0" w:color="auto"/>
              <w:bottom w:val="single" w:sz="4" w:space="0" w:color="auto"/>
              <w:right w:val="single" w:sz="4" w:space="0" w:color="auto"/>
            </w:tcBorders>
          </w:tcPr>
          <w:p w14:paraId="6E8C87ED" w14:textId="7BAF166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204778AD" w14:textId="1A2B989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70ED35C6" w14:textId="158ABBD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5734DE38" w14:textId="0655FEA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223DFCC3" w14:textId="2C171FB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nil"/>
              <w:left w:val="nil"/>
              <w:bottom w:val="single" w:sz="8" w:space="0" w:color="auto"/>
              <w:right w:val="single" w:sz="8" w:space="0" w:color="auto"/>
            </w:tcBorders>
          </w:tcPr>
          <w:p w14:paraId="3F168654" w14:textId="068858C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Yearly Service Delivery plans </w:t>
            </w:r>
          </w:p>
        </w:tc>
        <w:tc>
          <w:tcPr>
            <w:tcW w:w="1531" w:type="dxa"/>
            <w:tcBorders>
              <w:top w:val="single" w:sz="8" w:space="0" w:color="auto"/>
              <w:left w:val="nil"/>
              <w:bottom w:val="single" w:sz="4" w:space="0" w:color="auto"/>
              <w:right w:val="single" w:sz="8" w:space="0" w:color="auto"/>
            </w:tcBorders>
          </w:tcPr>
          <w:p w14:paraId="5E2C14EA" w14:textId="0A3DAA7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5C2B2B06" w14:textId="7EB5752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All new development will adhere to the prescribed guidance in the LDP and IDP to ensure that developments are compliant</w:t>
            </w:r>
          </w:p>
        </w:tc>
        <w:tc>
          <w:tcPr>
            <w:tcW w:w="1480" w:type="dxa"/>
            <w:tcBorders>
              <w:top w:val="single" w:sz="8" w:space="0" w:color="auto"/>
              <w:left w:val="nil"/>
              <w:bottom w:val="single" w:sz="4" w:space="0" w:color="auto"/>
              <w:right w:val="single" w:sz="8" w:space="0" w:color="auto"/>
            </w:tcBorders>
          </w:tcPr>
          <w:p w14:paraId="7F1E7319" w14:textId="3AA7899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2022</w:t>
            </w:r>
          </w:p>
        </w:tc>
        <w:tc>
          <w:tcPr>
            <w:tcW w:w="3241" w:type="dxa"/>
            <w:tcBorders>
              <w:top w:val="single" w:sz="8" w:space="0" w:color="auto"/>
              <w:left w:val="nil"/>
              <w:bottom w:val="single" w:sz="4" w:space="0" w:color="auto"/>
              <w:right w:val="single" w:sz="8" w:space="0" w:color="auto"/>
            </w:tcBorders>
          </w:tcPr>
          <w:p w14:paraId="4E3271D4"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3C1E0425" w14:textId="77777777" w:rsidTr="00DC476D">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3238BEAD" w14:textId="6691C7F8" w:rsidR="00F946DA" w:rsidRPr="00A26F71" w:rsidRDefault="00F946DA" w:rsidP="00F946DA">
            <w:pPr>
              <w:spacing w:before="0" w:after="0" w:line="240" w:lineRule="auto"/>
              <w:rPr>
                <w:sz w:val="20"/>
                <w:szCs w:val="20"/>
              </w:rPr>
            </w:pPr>
            <w:r w:rsidRPr="00A26F71">
              <w:rPr>
                <w:sz w:val="20"/>
                <w:szCs w:val="20"/>
              </w:rPr>
              <w:t>8</w:t>
            </w:r>
          </w:p>
        </w:tc>
        <w:tc>
          <w:tcPr>
            <w:tcW w:w="1383" w:type="dxa"/>
          </w:tcPr>
          <w:p w14:paraId="45F7D1C8" w14:textId="01B16EB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Ensure new developments have adequate travel plans that are continuously reviewed and updated</w:t>
            </w:r>
          </w:p>
        </w:tc>
        <w:tc>
          <w:tcPr>
            <w:tcW w:w="1490" w:type="dxa"/>
          </w:tcPr>
          <w:p w14:paraId="4F37C4D1" w14:textId="0EF0C1A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Policy Guidance and Development Control</w:t>
            </w:r>
          </w:p>
        </w:tc>
        <w:tc>
          <w:tcPr>
            <w:tcW w:w="1546" w:type="dxa"/>
          </w:tcPr>
          <w:p w14:paraId="298653A1" w14:textId="45425B2B"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Air Quality Planning and Policy Guidance</w:t>
            </w:r>
          </w:p>
        </w:tc>
        <w:tc>
          <w:tcPr>
            <w:tcW w:w="1102" w:type="dxa"/>
          </w:tcPr>
          <w:p w14:paraId="214308D4" w14:textId="1DB06B3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23B66F7B" w14:textId="7599219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28DF7995" w14:textId="06FB4E9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20480FF0" w14:textId="0E2786A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0798369E" w14:textId="1D661EE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7574095C" w14:textId="71BC09A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7F9816F0" w14:textId="55CC7E4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nil"/>
              <w:left w:val="nil"/>
              <w:bottom w:val="single" w:sz="8" w:space="0" w:color="auto"/>
              <w:right w:val="single" w:sz="8" w:space="0" w:color="auto"/>
            </w:tcBorders>
          </w:tcPr>
          <w:p w14:paraId="08B4F398" w14:textId="37C1DFD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531" w:type="dxa"/>
            <w:tcBorders>
              <w:top w:val="single" w:sz="8" w:space="0" w:color="auto"/>
              <w:left w:val="nil"/>
              <w:bottom w:val="single" w:sz="4" w:space="0" w:color="auto"/>
              <w:right w:val="single" w:sz="8" w:space="0" w:color="auto"/>
            </w:tcBorders>
          </w:tcPr>
          <w:p w14:paraId="20F1D22E" w14:textId="7AC0A53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7818FEE2" w14:textId="2940188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Increase the number of travel plans within the borough</w:t>
            </w:r>
          </w:p>
        </w:tc>
        <w:tc>
          <w:tcPr>
            <w:tcW w:w="1480" w:type="dxa"/>
            <w:tcBorders>
              <w:top w:val="single" w:sz="8" w:space="0" w:color="auto"/>
              <w:left w:val="nil"/>
              <w:bottom w:val="single" w:sz="4" w:space="0" w:color="auto"/>
              <w:right w:val="single" w:sz="8" w:space="0" w:color="auto"/>
            </w:tcBorders>
          </w:tcPr>
          <w:p w14:paraId="71F70B93" w14:textId="4855EA2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2D8400C3"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5503FA8B"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1EC30B59" w14:textId="14AF8FC6" w:rsidR="00F946DA" w:rsidRPr="00A26F71" w:rsidRDefault="00F946DA" w:rsidP="00F946DA">
            <w:pPr>
              <w:spacing w:before="0" w:after="0" w:line="240" w:lineRule="auto"/>
              <w:rPr>
                <w:sz w:val="20"/>
                <w:szCs w:val="20"/>
              </w:rPr>
            </w:pPr>
            <w:r w:rsidRPr="00A26F71">
              <w:rPr>
                <w:sz w:val="20"/>
                <w:szCs w:val="20"/>
              </w:rPr>
              <w:t>9</w:t>
            </w:r>
          </w:p>
        </w:tc>
        <w:tc>
          <w:tcPr>
            <w:tcW w:w="1383" w:type="dxa"/>
          </w:tcPr>
          <w:p w14:paraId="3B972A3A" w14:textId="2E2B5A4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North East Air Quality Strategy</w:t>
            </w:r>
          </w:p>
        </w:tc>
        <w:tc>
          <w:tcPr>
            <w:tcW w:w="1490" w:type="dxa"/>
          </w:tcPr>
          <w:p w14:paraId="313BC531" w14:textId="503303E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Policy Guidance and Development</w:t>
            </w:r>
          </w:p>
        </w:tc>
        <w:tc>
          <w:tcPr>
            <w:tcW w:w="1546" w:type="dxa"/>
          </w:tcPr>
          <w:p w14:paraId="5028770D"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Air Quality  </w:t>
            </w:r>
          </w:p>
          <w:p w14:paraId="5D08C5A3" w14:textId="3B6BFCEC"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Strategy</w:t>
            </w:r>
          </w:p>
        </w:tc>
        <w:tc>
          <w:tcPr>
            <w:tcW w:w="1102" w:type="dxa"/>
          </w:tcPr>
          <w:p w14:paraId="3492DA14" w14:textId="38D2C35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NECA</w:t>
            </w:r>
          </w:p>
        </w:tc>
        <w:tc>
          <w:tcPr>
            <w:tcW w:w="1126" w:type="dxa"/>
            <w:tcBorders>
              <w:top w:val="single" w:sz="8" w:space="0" w:color="auto"/>
              <w:left w:val="nil"/>
              <w:bottom w:val="single" w:sz="4" w:space="0" w:color="auto"/>
              <w:right w:val="single" w:sz="8" w:space="0" w:color="auto"/>
            </w:tcBorders>
          </w:tcPr>
          <w:p w14:paraId="00C4FF45" w14:textId="0EA9BDB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2018</w:t>
            </w:r>
          </w:p>
        </w:tc>
        <w:tc>
          <w:tcPr>
            <w:tcW w:w="1646" w:type="dxa"/>
            <w:tcBorders>
              <w:top w:val="single" w:sz="4" w:space="0" w:color="auto"/>
              <w:left w:val="single" w:sz="4" w:space="0" w:color="auto"/>
              <w:bottom w:val="single" w:sz="4" w:space="0" w:color="auto"/>
              <w:right w:val="single" w:sz="4" w:space="0" w:color="auto"/>
            </w:tcBorders>
          </w:tcPr>
          <w:p w14:paraId="2081B0EB" w14:textId="7203340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NECA</w:t>
            </w:r>
          </w:p>
        </w:tc>
        <w:tc>
          <w:tcPr>
            <w:tcW w:w="1013" w:type="dxa"/>
          </w:tcPr>
          <w:p w14:paraId="2A6CD95A" w14:textId="21144AD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2CDB1698" w14:textId="22891CE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6BFE8C96" w14:textId="0125FC1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1F644401" w14:textId="2943FC9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single" w:sz="8" w:space="0" w:color="auto"/>
              <w:left w:val="nil"/>
              <w:bottom w:val="single" w:sz="4" w:space="0" w:color="auto"/>
              <w:right w:val="single" w:sz="8" w:space="0" w:color="auto"/>
            </w:tcBorders>
          </w:tcPr>
          <w:p w14:paraId="64918CA3" w14:textId="23B450D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531" w:type="dxa"/>
            <w:tcBorders>
              <w:top w:val="single" w:sz="8" w:space="0" w:color="auto"/>
              <w:left w:val="nil"/>
              <w:bottom w:val="single" w:sz="4" w:space="0" w:color="auto"/>
              <w:right w:val="single" w:sz="8" w:space="0" w:color="auto"/>
            </w:tcBorders>
          </w:tcPr>
          <w:p w14:paraId="3ECD44D9" w14:textId="4B8E281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63D7076E" w14:textId="764AEFE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CO</w:t>
            </w:r>
            <w:r w:rsidRPr="00A26F71">
              <w:rPr>
                <w:sz w:val="20"/>
                <w:szCs w:val="20"/>
                <w:vertAlign w:val="subscript"/>
              </w:rPr>
              <w:t>2</w:t>
            </w:r>
            <w:r w:rsidRPr="00A26F71">
              <w:rPr>
                <w:sz w:val="20"/>
                <w:szCs w:val="20"/>
              </w:rPr>
              <w:t xml:space="preserve"> emissions</w:t>
            </w:r>
          </w:p>
        </w:tc>
        <w:tc>
          <w:tcPr>
            <w:tcW w:w="1480" w:type="dxa"/>
            <w:tcBorders>
              <w:top w:val="single" w:sz="8" w:space="0" w:color="auto"/>
              <w:left w:val="nil"/>
              <w:bottom w:val="single" w:sz="4" w:space="0" w:color="auto"/>
              <w:right w:val="single" w:sz="8" w:space="0" w:color="auto"/>
            </w:tcBorders>
          </w:tcPr>
          <w:p w14:paraId="4B44F58E" w14:textId="2303B50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2018</w:t>
            </w:r>
          </w:p>
        </w:tc>
        <w:tc>
          <w:tcPr>
            <w:tcW w:w="3241" w:type="dxa"/>
            <w:tcBorders>
              <w:top w:val="single" w:sz="8" w:space="0" w:color="auto"/>
              <w:left w:val="nil"/>
              <w:bottom w:val="single" w:sz="4" w:space="0" w:color="auto"/>
              <w:right w:val="single" w:sz="8" w:space="0" w:color="auto"/>
            </w:tcBorders>
          </w:tcPr>
          <w:p w14:paraId="60449A7E"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North East </w:t>
            </w:r>
          </w:p>
          <w:p w14:paraId="2F8D2653" w14:textId="42E7C28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Combined Authority Leading on this</w:t>
            </w:r>
          </w:p>
        </w:tc>
      </w:tr>
      <w:tr w:rsidR="00F946DA" w:rsidRPr="00116356" w14:paraId="7474FCD7"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3E5E6A3F" w14:textId="4714CCED" w:rsidR="00F946DA" w:rsidRPr="00A26F71" w:rsidRDefault="00F946DA" w:rsidP="00F946DA">
            <w:pPr>
              <w:spacing w:before="0" w:after="0" w:line="240" w:lineRule="auto"/>
              <w:rPr>
                <w:sz w:val="20"/>
                <w:szCs w:val="20"/>
              </w:rPr>
            </w:pPr>
            <w:r w:rsidRPr="00A26F71">
              <w:rPr>
                <w:sz w:val="20"/>
                <w:szCs w:val="20"/>
              </w:rPr>
              <w:t>10</w:t>
            </w:r>
          </w:p>
        </w:tc>
        <w:tc>
          <w:tcPr>
            <w:tcW w:w="1383" w:type="dxa"/>
          </w:tcPr>
          <w:p w14:paraId="471EB9D8" w14:textId="04066DA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North East Combined Authority Sustainable Transport Group</w:t>
            </w:r>
          </w:p>
        </w:tc>
        <w:tc>
          <w:tcPr>
            <w:tcW w:w="1490" w:type="dxa"/>
          </w:tcPr>
          <w:p w14:paraId="00CC6DD6" w14:textId="05A9531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Policy Guidance and Development</w:t>
            </w:r>
          </w:p>
        </w:tc>
        <w:tc>
          <w:tcPr>
            <w:tcW w:w="1546" w:type="dxa"/>
          </w:tcPr>
          <w:p w14:paraId="4BE4A43E"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Regional Groups </w:t>
            </w:r>
          </w:p>
          <w:p w14:paraId="1D7DBC09"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to develop Area </w:t>
            </w:r>
          </w:p>
          <w:p w14:paraId="7BA3731E"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wide Strategies to </w:t>
            </w:r>
          </w:p>
          <w:p w14:paraId="3D9E6077" w14:textId="48843B89"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reduce emissions </w:t>
            </w:r>
          </w:p>
        </w:tc>
        <w:tc>
          <w:tcPr>
            <w:tcW w:w="1102" w:type="dxa"/>
          </w:tcPr>
          <w:p w14:paraId="7FE79822" w14:textId="13ECD78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NECA</w:t>
            </w:r>
          </w:p>
        </w:tc>
        <w:tc>
          <w:tcPr>
            <w:tcW w:w="1126" w:type="dxa"/>
            <w:tcBorders>
              <w:top w:val="single" w:sz="8" w:space="0" w:color="auto"/>
              <w:left w:val="nil"/>
              <w:bottom w:val="single" w:sz="4" w:space="0" w:color="auto"/>
              <w:right w:val="single" w:sz="8" w:space="0" w:color="auto"/>
            </w:tcBorders>
          </w:tcPr>
          <w:p w14:paraId="72C45306" w14:textId="20E03A6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2018 </w:t>
            </w:r>
          </w:p>
        </w:tc>
        <w:tc>
          <w:tcPr>
            <w:tcW w:w="1646" w:type="dxa"/>
            <w:tcBorders>
              <w:top w:val="single" w:sz="4" w:space="0" w:color="auto"/>
              <w:left w:val="single" w:sz="4" w:space="0" w:color="auto"/>
              <w:bottom w:val="single" w:sz="4" w:space="0" w:color="auto"/>
              <w:right w:val="single" w:sz="4" w:space="0" w:color="auto"/>
            </w:tcBorders>
          </w:tcPr>
          <w:p w14:paraId="70B204FD" w14:textId="7FF0A2D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NECA</w:t>
            </w:r>
          </w:p>
        </w:tc>
        <w:tc>
          <w:tcPr>
            <w:tcW w:w="1013" w:type="dxa"/>
          </w:tcPr>
          <w:p w14:paraId="787648D4" w14:textId="303DA2E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6CD4F502" w14:textId="479EE41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40C841A4" w14:textId="35A17E6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5D8B0A6A" w14:textId="0F7B9D4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single" w:sz="8" w:space="0" w:color="auto"/>
              <w:left w:val="nil"/>
              <w:bottom w:val="single" w:sz="4" w:space="0" w:color="auto"/>
              <w:right w:val="single" w:sz="8" w:space="0" w:color="auto"/>
            </w:tcBorders>
          </w:tcPr>
          <w:p w14:paraId="3A1B7C8B" w14:textId="578ECC0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531" w:type="dxa"/>
            <w:tcBorders>
              <w:top w:val="single" w:sz="8" w:space="0" w:color="auto"/>
              <w:left w:val="nil"/>
              <w:bottom w:val="single" w:sz="4" w:space="0" w:color="auto"/>
              <w:right w:val="single" w:sz="8" w:space="0" w:color="auto"/>
            </w:tcBorders>
          </w:tcPr>
          <w:p w14:paraId="4B85B9E3" w14:textId="27A539F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643907B0" w14:textId="314BB14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Air Quality Improvements</w:t>
            </w:r>
          </w:p>
        </w:tc>
        <w:tc>
          <w:tcPr>
            <w:tcW w:w="1480" w:type="dxa"/>
            <w:tcBorders>
              <w:top w:val="single" w:sz="8" w:space="0" w:color="auto"/>
              <w:left w:val="nil"/>
              <w:bottom w:val="single" w:sz="4" w:space="0" w:color="auto"/>
              <w:right w:val="single" w:sz="8" w:space="0" w:color="auto"/>
            </w:tcBorders>
          </w:tcPr>
          <w:p w14:paraId="7AE8DD0D" w14:textId="501E2DA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2018 </w:t>
            </w:r>
          </w:p>
        </w:tc>
        <w:tc>
          <w:tcPr>
            <w:tcW w:w="3241" w:type="dxa"/>
            <w:tcBorders>
              <w:top w:val="single" w:sz="8" w:space="0" w:color="auto"/>
              <w:left w:val="nil"/>
              <w:bottom w:val="single" w:sz="4" w:space="0" w:color="auto"/>
              <w:right w:val="single" w:sz="8" w:space="0" w:color="auto"/>
            </w:tcBorders>
          </w:tcPr>
          <w:p w14:paraId="52752E10" w14:textId="30C92DA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Regular Meetings undertaken</w:t>
            </w:r>
          </w:p>
        </w:tc>
      </w:tr>
      <w:tr w:rsidR="00F946DA" w:rsidRPr="00116356" w14:paraId="3F12C4F8"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7BF3A182" w14:textId="4E1B377C" w:rsidR="00F946DA" w:rsidRPr="00A26F71" w:rsidRDefault="00F946DA" w:rsidP="00F946DA">
            <w:pPr>
              <w:spacing w:before="0" w:after="0" w:line="240" w:lineRule="auto"/>
              <w:rPr>
                <w:sz w:val="20"/>
                <w:szCs w:val="20"/>
              </w:rPr>
            </w:pPr>
            <w:r w:rsidRPr="00A26F71">
              <w:rPr>
                <w:sz w:val="20"/>
                <w:szCs w:val="20"/>
              </w:rPr>
              <w:t>11</w:t>
            </w:r>
          </w:p>
        </w:tc>
        <w:tc>
          <w:tcPr>
            <w:tcW w:w="1383" w:type="dxa"/>
          </w:tcPr>
          <w:p w14:paraId="4C87F488" w14:textId="052C5E4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 promoting electric vehicles through an employer car lease scheme</w:t>
            </w:r>
          </w:p>
        </w:tc>
        <w:tc>
          <w:tcPr>
            <w:tcW w:w="1490" w:type="dxa"/>
          </w:tcPr>
          <w:p w14:paraId="16BCEC6F" w14:textId="12296F2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Promoting Low Emission Transport</w:t>
            </w:r>
          </w:p>
        </w:tc>
        <w:tc>
          <w:tcPr>
            <w:tcW w:w="1546" w:type="dxa"/>
          </w:tcPr>
          <w:p w14:paraId="68C72ECC" w14:textId="5A9B2A0D"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Company Vehicle Procurement -Prioritising uptake of low emission vehicles</w:t>
            </w:r>
          </w:p>
        </w:tc>
        <w:tc>
          <w:tcPr>
            <w:tcW w:w="1102" w:type="dxa"/>
          </w:tcPr>
          <w:p w14:paraId="3C5B2519" w14:textId="0DA9159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0FAAF385" w14:textId="552D2CE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2C4CFB14" w14:textId="4DA44DA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2048E5DD" w14:textId="144C539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27A72096" w14:textId="4F2F188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5199D10A" w14:textId="5CCBC82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14F54F77" w14:textId="10C98DD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single" w:sz="8" w:space="0" w:color="auto"/>
              <w:left w:val="nil"/>
              <w:bottom w:val="single" w:sz="4" w:space="0" w:color="auto"/>
              <w:right w:val="single" w:sz="8" w:space="0" w:color="auto"/>
            </w:tcBorders>
          </w:tcPr>
          <w:p w14:paraId="21F6521D" w14:textId="1C362D0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Final Draft for Approval</w:t>
            </w:r>
          </w:p>
        </w:tc>
        <w:tc>
          <w:tcPr>
            <w:tcW w:w="1531" w:type="dxa"/>
            <w:tcBorders>
              <w:top w:val="single" w:sz="8" w:space="0" w:color="auto"/>
              <w:left w:val="nil"/>
              <w:bottom w:val="single" w:sz="4" w:space="0" w:color="auto"/>
              <w:right w:val="single" w:sz="8" w:space="0" w:color="auto"/>
            </w:tcBorders>
          </w:tcPr>
          <w:p w14:paraId="01B8D9C3" w14:textId="08ACE43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2B86BC4C" w14:textId="3FDDE57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w:t>
            </w:r>
          </w:p>
        </w:tc>
        <w:tc>
          <w:tcPr>
            <w:tcW w:w="1480" w:type="dxa"/>
            <w:tcBorders>
              <w:top w:val="single" w:sz="8" w:space="0" w:color="auto"/>
              <w:left w:val="nil"/>
              <w:bottom w:val="single" w:sz="4" w:space="0" w:color="auto"/>
              <w:right w:val="single" w:sz="8" w:space="0" w:color="auto"/>
            </w:tcBorders>
          </w:tcPr>
          <w:p w14:paraId="6AF27AC3" w14:textId="30E8B03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735C82CC"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7C60B437"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4CEE3075" w14:textId="24EE8BEE" w:rsidR="00F946DA" w:rsidRPr="00A26F71" w:rsidRDefault="00F946DA" w:rsidP="00F946DA">
            <w:pPr>
              <w:spacing w:before="0" w:after="0" w:line="240" w:lineRule="auto"/>
              <w:rPr>
                <w:sz w:val="20"/>
                <w:szCs w:val="20"/>
              </w:rPr>
            </w:pPr>
            <w:r w:rsidRPr="00A26F71">
              <w:rPr>
                <w:sz w:val="20"/>
                <w:szCs w:val="20"/>
              </w:rPr>
              <w:t>12</w:t>
            </w:r>
          </w:p>
        </w:tc>
        <w:tc>
          <w:tcPr>
            <w:tcW w:w="1383" w:type="dxa"/>
          </w:tcPr>
          <w:p w14:paraId="68C5C4B4" w14:textId="6E7AFD4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Investment in Electric Charging Infrastructure</w:t>
            </w:r>
          </w:p>
        </w:tc>
        <w:tc>
          <w:tcPr>
            <w:tcW w:w="1490" w:type="dxa"/>
          </w:tcPr>
          <w:p w14:paraId="0618232F" w14:textId="7F547CF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Promoting Low Emission Transport</w:t>
            </w:r>
          </w:p>
        </w:tc>
        <w:tc>
          <w:tcPr>
            <w:tcW w:w="1546" w:type="dxa"/>
          </w:tcPr>
          <w:p w14:paraId="670A63DD" w14:textId="674BE63A"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Priority parking for LEV's</w:t>
            </w:r>
          </w:p>
        </w:tc>
        <w:tc>
          <w:tcPr>
            <w:tcW w:w="1102" w:type="dxa"/>
          </w:tcPr>
          <w:p w14:paraId="14A6126B" w14:textId="65CC23B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421D5362" w14:textId="411F74B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rFonts w:eastAsiaTheme="minorHAnsi" w:cs="Arial"/>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7A14BF7F" w14:textId="3343CC0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090376BB" w14:textId="1F52D0D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OLEV</w:t>
            </w:r>
          </w:p>
        </w:tc>
        <w:tc>
          <w:tcPr>
            <w:tcW w:w="812" w:type="dxa"/>
          </w:tcPr>
          <w:p w14:paraId="64EEA6B1" w14:textId="47218A6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327DCE6F"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69" w:type="dxa"/>
          </w:tcPr>
          <w:p w14:paraId="1F655503"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84" w:type="dxa"/>
            <w:tcBorders>
              <w:top w:val="single" w:sz="8" w:space="0" w:color="auto"/>
              <w:left w:val="nil"/>
              <w:bottom w:val="single" w:sz="4" w:space="0" w:color="auto"/>
              <w:right w:val="single" w:sz="8" w:space="0" w:color="auto"/>
            </w:tcBorders>
          </w:tcPr>
          <w:p w14:paraId="0D7B2205" w14:textId="6569D1A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531" w:type="dxa"/>
            <w:tcBorders>
              <w:top w:val="single" w:sz="8" w:space="0" w:color="auto"/>
              <w:left w:val="nil"/>
              <w:bottom w:val="single" w:sz="4" w:space="0" w:color="auto"/>
              <w:right w:val="single" w:sz="8" w:space="0" w:color="auto"/>
            </w:tcBorders>
          </w:tcPr>
          <w:p w14:paraId="47D4C9B2" w14:textId="6BBBC9A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494A8E20" w14:textId="74FAB95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 Improved air quality</w:t>
            </w:r>
          </w:p>
        </w:tc>
        <w:tc>
          <w:tcPr>
            <w:tcW w:w="1480" w:type="dxa"/>
            <w:tcBorders>
              <w:top w:val="single" w:sz="8" w:space="0" w:color="auto"/>
              <w:left w:val="nil"/>
              <w:bottom w:val="single" w:sz="4" w:space="0" w:color="auto"/>
              <w:right w:val="single" w:sz="8" w:space="0" w:color="auto"/>
            </w:tcBorders>
          </w:tcPr>
          <w:p w14:paraId="4C3B4102" w14:textId="69BDEED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rFonts w:eastAsiaTheme="minorHAnsi" w:cs="Arial"/>
                <w:sz w:val="20"/>
                <w:szCs w:val="20"/>
              </w:rPr>
              <w:t>Ongoing</w:t>
            </w:r>
          </w:p>
        </w:tc>
        <w:tc>
          <w:tcPr>
            <w:tcW w:w="3241" w:type="dxa"/>
            <w:tcBorders>
              <w:top w:val="single" w:sz="8" w:space="0" w:color="auto"/>
              <w:left w:val="nil"/>
              <w:bottom w:val="single" w:sz="4" w:space="0" w:color="auto"/>
              <w:right w:val="single" w:sz="8" w:space="0" w:color="auto"/>
            </w:tcBorders>
          </w:tcPr>
          <w:p w14:paraId="1839CC56" w14:textId="367FE64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rFonts w:cs="Arial"/>
                <w:sz w:val="20"/>
                <w:szCs w:val="20"/>
                <w:lang w:eastAsia="en-GB"/>
              </w:rPr>
              <w:t>15 additional charging points will be implemented in 2021 (May onwards).</w:t>
            </w:r>
          </w:p>
        </w:tc>
      </w:tr>
      <w:tr w:rsidR="00F946DA" w:rsidRPr="00116356" w14:paraId="59E10721"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77C199C6" w14:textId="28DB728D" w:rsidR="00F946DA" w:rsidRPr="00A26F71" w:rsidRDefault="00F946DA" w:rsidP="00F946DA">
            <w:pPr>
              <w:spacing w:before="0" w:after="0" w:line="240" w:lineRule="auto"/>
              <w:rPr>
                <w:sz w:val="20"/>
                <w:szCs w:val="20"/>
              </w:rPr>
            </w:pPr>
            <w:r w:rsidRPr="00A26F71">
              <w:rPr>
                <w:sz w:val="20"/>
                <w:szCs w:val="20"/>
              </w:rPr>
              <w:t>13</w:t>
            </w:r>
          </w:p>
        </w:tc>
        <w:tc>
          <w:tcPr>
            <w:tcW w:w="1383" w:type="dxa"/>
          </w:tcPr>
          <w:p w14:paraId="59352E06" w14:textId="05C664D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Council Fleet to investigate options for electric fleet including Taxi’s</w:t>
            </w:r>
          </w:p>
        </w:tc>
        <w:tc>
          <w:tcPr>
            <w:tcW w:w="1490" w:type="dxa"/>
          </w:tcPr>
          <w:p w14:paraId="68338800" w14:textId="271748E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Promoting Low Emission Transport</w:t>
            </w:r>
          </w:p>
        </w:tc>
        <w:tc>
          <w:tcPr>
            <w:tcW w:w="1546" w:type="dxa"/>
          </w:tcPr>
          <w:p w14:paraId="435378C4"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Prioritising uptake </w:t>
            </w:r>
          </w:p>
          <w:p w14:paraId="1BF55074" w14:textId="744CC44D"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of low emission vehicles</w:t>
            </w:r>
          </w:p>
        </w:tc>
        <w:tc>
          <w:tcPr>
            <w:tcW w:w="1102" w:type="dxa"/>
          </w:tcPr>
          <w:p w14:paraId="2D1C2D8F" w14:textId="4013BAA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2D0CA25D" w14:textId="6ECCE35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 with STH fleet taking ownership of EV vans</w:t>
            </w:r>
          </w:p>
        </w:tc>
        <w:tc>
          <w:tcPr>
            <w:tcW w:w="1646" w:type="dxa"/>
            <w:tcBorders>
              <w:top w:val="single" w:sz="4" w:space="0" w:color="auto"/>
              <w:left w:val="single" w:sz="4" w:space="0" w:color="auto"/>
              <w:bottom w:val="single" w:sz="4" w:space="0" w:color="auto"/>
              <w:right w:val="single" w:sz="4" w:space="0" w:color="auto"/>
            </w:tcBorders>
          </w:tcPr>
          <w:p w14:paraId="58BD9456" w14:textId="4AF6B92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7BF09D2D" w14:textId="6CC6D51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OLEV</w:t>
            </w:r>
          </w:p>
        </w:tc>
        <w:tc>
          <w:tcPr>
            <w:tcW w:w="812" w:type="dxa"/>
          </w:tcPr>
          <w:p w14:paraId="58CAC3CD" w14:textId="22EA17D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75C6846F" w14:textId="09A090F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5BD384EB" w14:textId="6FE5CD4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single" w:sz="8" w:space="0" w:color="auto"/>
              <w:left w:val="nil"/>
              <w:bottom w:val="single" w:sz="4" w:space="0" w:color="auto"/>
              <w:right w:val="single" w:sz="8" w:space="0" w:color="auto"/>
            </w:tcBorders>
          </w:tcPr>
          <w:p w14:paraId="5C9F091B" w14:textId="279E219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Draft of LDP and IDP paused for a review of the Spatial Strategy </w:t>
            </w:r>
          </w:p>
        </w:tc>
        <w:tc>
          <w:tcPr>
            <w:tcW w:w="1531" w:type="dxa"/>
            <w:tcBorders>
              <w:top w:val="single" w:sz="8" w:space="0" w:color="auto"/>
              <w:left w:val="nil"/>
              <w:bottom w:val="single" w:sz="4" w:space="0" w:color="auto"/>
              <w:right w:val="single" w:sz="8" w:space="0" w:color="auto"/>
            </w:tcBorders>
          </w:tcPr>
          <w:p w14:paraId="5C2D3390" w14:textId="1E33E3F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4D200496" w14:textId="2C24C4F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 improved air quality</w:t>
            </w:r>
          </w:p>
        </w:tc>
        <w:tc>
          <w:tcPr>
            <w:tcW w:w="1480" w:type="dxa"/>
            <w:tcBorders>
              <w:top w:val="single" w:sz="8" w:space="0" w:color="auto"/>
              <w:left w:val="nil"/>
              <w:bottom w:val="single" w:sz="4" w:space="0" w:color="auto"/>
              <w:right w:val="single" w:sz="8" w:space="0" w:color="auto"/>
            </w:tcBorders>
          </w:tcPr>
          <w:p w14:paraId="605CD032" w14:textId="63B0F7A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 with STH fleet taking ownership of EV vans</w:t>
            </w:r>
          </w:p>
        </w:tc>
        <w:tc>
          <w:tcPr>
            <w:tcW w:w="3241" w:type="dxa"/>
            <w:tcBorders>
              <w:top w:val="single" w:sz="8" w:space="0" w:color="auto"/>
              <w:left w:val="nil"/>
              <w:bottom w:val="single" w:sz="4" w:space="0" w:color="auto"/>
              <w:right w:val="single" w:sz="8" w:space="0" w:color="auto"/>
            </w:tcBorders>
          </w:tcPr>
          <w:p w14:paraId="63AC08F8"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11A74611"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002E557C" w14:textId="5937AE79" w:rsidR="00F946DA" w:rsidRPr="00A26F71" w:rsidRDefault="00F946DA" w:rsidP="00F946DA">
            <w:pPr>
              <w:spacing w:before="0" w:after="0" w:line="240" w:lineRule="auto"/>
              <w:rPr>
                <w:sz w:val="20"/>
                <w:szCs w:val="20"/>
              </w:rPr>
            </w:pPr>
            <w:r w:rsidRPr="00A26F71">
              <w:rPr>
                <w:sz w:val="20"/>
                <w:szCs w:val="20"/>
              </w:rPr>
              <w:t>14</w:t>
            </w:r>
          </w:p>
        </w:tc>
        <w:tc>
          <w:tcPr>
            <w:tcW w:w="1383" w:type="dxa"/>
          </w:tcPr>
          <w:p w14:paraId="0C922B79" w14:textId="482D4FE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Council have installed EV Charging Points</w:t>
            </w:r>
          </w:p>
        </w:tc>
        <w:tc>
          <w:tcPr>
            <w:tcW w:w="1490" w:type="dxa"/>
          </w:tcPr>
          <w:p w14:paraId="5E9A87FD" w14:textId="0D5FBCC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Promoting Low Emission Transport</w:t>
            </w:r>
          </w:p>
        </w:tc>
        <w:tc>
          <w:tcPr>
            <w:tcW w:w="1546" w:type="dxa"/>
          </w:tcPr>
          <w:p w14:paraId="2CDA8A18" w14:textId="77777777"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Prioritising uptake </w:t>
            </w:r>
          </w:p>
          <w:p w14:paraId="695FE49E" w14:textId="56F08618"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of low emission vehicles, </w:t>
            </w:r>
          </w:p>
        </w:tc>
        <w:tc>
          <w:tcPr>
            <w:tcW w:w="1102" w:type="dxa"/>
          </w:tcPr>
          <w:p w14:paraId="1ED26BA6" w14:textId="64553C9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09788883" w14:textId="453BA66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7019CED2" w14:textId="762AD99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29204833" w14:textId="5E0151E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OLEV</w:t>
            </w:r>
          </w:p>
        </w:tc>
        <w:tc>
          <w:tcPr>
            <w:tcW w:w="812" w:type="dxa"/>
          </w:tcPr>
          <w:p w14:paraId="567E9462" w14:textId="73AF991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510F54DC" w14:textId="32907AC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Yearly bids</w:t>
            </w:r>
          </w:p>
        </w:tc>
        <w:tc>
          <w:tcPr>
            <w:tcW w:w="1069" w:type="dxa"/>
          </w:tcPr>
          <w:p w14:paraId="54374CEB" w14:textId="6BC29D9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£100k per annum</w:t>
            </w:r>
          </w:p>
        </w:tc>
        <w:tc>
          <w:tcPr>
            <w:tcW w:w="1084" w:type="dxa"/>
            <w:tcBorders>
              <w:top w:val="single" w:sz="8" w:space="0" w:color="auto"/>
              <w:left w:val="nil"/>
              <w:bottom w:val="single" w:sz="4" w:space="0" w:color="auto"/>
              <w:right w:val="single" w:sz="8" w:space="0" w:color="auto"/>
            </w:tcBorders>
          </w:tcPr>
          <w:p w14:paraId="688EBAC5" w14:textId="787C1AE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531" w:type="dxa"/>
            <w:tcBorders>
              <w:top w:val="single" w:sz="8" w:space="0" w:color="auto"/>
              <w:left w:val="nil"/>
              <w:bottom w:val="single" w:sz="4" w:space="0" w:color="auto"/>
              <w:right w:val="single" w:sz="8" w:space="0" w:color="auto"/>
            </w:tcBorders>
          </w:tcPr>
          <w:p w14:paraId="46A00AE2" w14:textId="47BC20C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04CE487C" w14:textId="1074630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 improved air quality</w:t>
            </w:r>
          </w:p>
        </w:tc>
        <w:tc>
          <w:tcPr>
            <w:tcW w:w="1480" w:type="dxa"/>
            <w:tcBorders>
              <w:top w:val="single" w:sz="8" w:space="0" w:color="auto"/>
              <w:left w:val="nil"/>
              <w:bottom w:val="single" w:sz="4" w:space="0" w:color="auto"/>
              <w:right w:val="single" w:sz="8" w:space="0" w:color="auto"/>
            </w:tcBorders>
          </w:tcPr>
          <w:p w14:paraId="78BF825A" w14:textId="171A53D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65F8B792"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7E511780"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4ACE4EBD" w14:textId="07FF8715" w:rsidR="00F946DA" w:rsidRPr="00A26F71" w:rsidRDefault="00F946DA" w:rsidP="00F946DA">
            <w:pPr>
              <w:spacing w:before="0" w:after="0" w:line="240" w:lineRule="auto"/>
              <w:rPr>
                <w:sz w:val="20"/>
                <w:szCs w:val="20"/>
              </w:rPr>
            </w:pPr>
            <w:r w:rsidRPr="00A26F71">
              <w:rPr>
                <w:sz w:val="20"/>
                <w:szCs w:val="20"/>
              </w:rPr>
              <w:t>15</w:t>
            </w:r>
          </w:p>
        </w:tc>
        <w:tc>
          <w:tcPr>
            <w:tcW w:w="1383" w:type="dxa"/>
          </w:tcPr>
          <w:p w14:paraId="67AF7888" w14:textId="70EDF49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Travel Planning through Planning Process</w:t>
            </w:r>
          </w:p>
        </w:tc>
        <w:tc>
          <w:tcPr>
            <w:tcW w:w="1490" w:type="dxa"/>
          </w:tcPr>
          <w:p w14:paraId="51AFEB5F" w14:textId="73CD150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Promoting Travel Alternatives</w:t>
            </w:r>
          </w:p>
        </w:tc>
        <w:tc>
          <w:tcPr>
            <w:tcW w:w="1546" w:type="dxa"/>
          </w:tcPr>
          <w:p w14:paraId="64E57FEA" w14:textId="1DAC952C"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Intensive active travel campaign &amp; infrastructure</w:t>
            </w:r>
          </w:p>
        </w:tc>
        <w:tc>
          <w:tcPr>
            <w:tcW w:w="1102" w:type="dxa"/>
          </w:tcPr>
          <w:p w14:paraId="53691D22" w14:textId="00E3748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NECA &amp; STC</w:t>
            </w:r>
          </w:p>
        </w:tc>
        <w:tc>
          <w:tcPr>
            <w:tcW w:w="1126" w:type="dxa"/>
            <w:tcBorders>
              <w:top w:val="single" w:sz="8" w:space="0" w:color="auto"/>
              <w:left w:val="nil"/>
              <w:bottom w:val="single" w:sz="4" w:space="0" w:color="auto"/>
              <w:right w:val="single" w:sz="8" w:space="0" w:color="auto"/>
            </w:tcBorders>
          </w:tcPr>
          <w:p w14:paraId="028F7520" w14:textId="1C6A9C4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548D02F2" w14:textId="64EBA6A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NECA &amp; STC</w:t>
            </w:r>
          </w:p>
        </w:tc>
        <w:tc>
          <w:tcPr>
            <w:tcW w:w="1013" w:type="dxa"/>
          </w:tcPr>
          <w:p w14:paraId="40B6F235" w14:textId="2425D69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4576A223" w14:textId="5AA66C8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7336EC1B" w14:textId="3D9EFCD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1D0CCE62" w14:textId="1756B6F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single" w:sz="8" w:space="0" w:color="auto"/>
              <w:left w:val="nil"/>
              <w:bottom w:val="single" w:sz="4" w:space="0" w:color="auto"/>
              <w:right w:val="single" w:sz="8" w:space="0" w:color="auto"/>
            </w:tcBorders>
          </w:tcPr>
          <w:p w14:paraId="0F5641C6" w14:textId="4C205FA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complete</w:t>
            </w:r>
          </w:p>
        </w:tc>
        <w:tc>
          <w:tcPr>
            <w:tcW w:w="1531" w:type="dxa"/>
            <w:tcBorders>
              <w:top w:val="single" w:sz="8" w:space="0" w:color="auto"/>
              <w:left w:val="nil"/>
              <w:bottom w:val="single" w:sz="4" w:space="0" w:color="auto"/>
              <w:right w:val="single" w:sz="8" w:space="0" w:color="auto"/>
            </w:tcBorders>
          </w:tcPr>
          <w:p w14:paraId="7B25F6EF" w14:textId="1741C9F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Limited improvements</w:t>
            </w:r>
          </w:p>
        </w:tc>
        <w:tc>
          <w:tcPr>
            <w:tcW w:w="1362" w:type="dxa"/>
            <w:tcBorders>
              <w:top w:val="single" w:sz="8" w:space="0" w:color="auto"/>
              <w:left w:val="nil"/>
              <w:bottom w:val="single" w:sz="4" w:space="0" w:color="auto"/>
              <w:right w:val="single" w:sz="8" w:space="0" w:color="auto"/>
            </w:tcBorders>
          </w:tcPr>
          <w:p w14:paraId="7A7F1CE4" w14:textId="3BB25A7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Reduced emissions, Improved air quality, </w:t>
            </w:r>
          </w:p>
        </w:tc>
        <w:tc>
          <w:tcPr>
            <w:tcW w:w="1480" w:type="dxa"/>
            <w:tcBorders>
              <w:top w:val="single" w:sz="8" w:space="0" w:color="auto"/>
              <w:left w:val="nil"/>
              <w:bottom w:val="single" w:sz="4" w:space="0" w:color="auto"/>
              <w:right w:val="single" w:sz="8" w:space="0" w:color="auto"/>
            </w:tcBorders>
          </w:tcPr>
          <w:p w14:paraId="79845095" w14:textId="680EDDC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64146AC6"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3F58DC38"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5637F19B" w14:textId="4F052529" w:rsidR="00F946DA" w:rsidRPr="00A26F71" w:rsidRDefault="00F946DA" w:rsidP="00F946DA">
            <w:pPr>
              <w:spacing w:before="0" w:after="0" w:line="240" w:lineRule="auto"/>
              <w:rPr>
                <w:sz w:val="20"/>
                <w:szCs w:val="20"/>
              </w:rPr>
            </w:pPr>
            <w:r w:rsidRPr="00A26F71">
              <w:rPr>
                <w:sz w:val="20"/>
                <w:szCs w:val="20"/>
              </w:rPr>
              <w:t>16</w:t>
            </w:r>
          </w:p>
        </w:tc>
        <w:tc>
          <w:tcPr>
            <w:tcW w:w="1383" w:type="dxa"/>
          </w:tcPr>
          <w:p w14:paraId="3B3CA771" w14:textId="136F876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New South Shields Public Transport Interchange</w:t>
            </w:r>
          </w:p>
        </w:tc>
        <w:tc>
          <w:tcPr>
            <w:tcW w:w="1490" w:type="dxa"/>
          </w:tcPr>
          <w:p w14:paraId="20F0759E" w14:textId="38AAA81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Transport Planning and Infrastructure</w:t>
            </w:r>
          </w:p>
        </w:tc>
        <w:tc>
          <w:tcPr>
            <w:tcW w:w="1546" w:type="dxa"/>
          </w:tcPr>
          <w:p w14:paraId="43DCE087" w14:textId="05FFC8F0"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Public transport improvements-interchanges stations and services</w:t>
            </w:r>
          </w:p>
        </w:tc>
        <w:tc>
          <w:tcPr>
            <w:tcW w:w="1102" w:type="dxa"/>
          </w:tcPr>
          <w:p w14:paraId="0B9E6261" w14:textId="40CC4A5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NEXUS / STC</w:t>
            </w:r>
          </w:p>
        </w:tc>
        <w:tc>
          <w:tcPr>
            <w:tcW w:w="1126" w:type="dxa"/>
            <w:tcBorders>
              <w:top w:val="single" w:sz="8" w:space="0" w:color="auto"/>
              <w:left w:val="nil"/>
              <w:bottom w:val="single" w:sz="4" w:space="0" w:color="auto"/>
              <w:right w:val="single" w:sz="8" w:space="0" w:color="auto"/>
            </w:tcBorders>
          </w:tcPr>
          <w:p w14:paraId="5630D3B7" w14:textId="40F901E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Opened in August 2019</w:t>
            </w:r>
          </w:p>
        </w:tc>
        <w:tc>
          <w:tcPr>
            <w:tcW w:w="1646" w:type="dxa"/>
            <w:tcBorders>
              <w:top w:val="single" w:sz="4" w:space="0" w:color="auto"/>
              <w:left w:val="single" w:sz="4" w:space="0" w:color="auto"/>
              <w:bottom w:val="single" w:sz="4" w:space="0" w:color="auto"/>
              <w:right w:val="single" w:sz="4" w:space="0" w:color="auto"/>
            </w:tcBorders>
          </w:tcPr>
          <w:p w14:paraId="2A370154" w14:textId="3F64C16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NEXUS / STC</w:t>
            </w:r>
          </w:p>
        </w:tc>
        <w:tc>
          <w:tcPr>
            <w:tcW w:w="1013" w:type="dxa"/>
          </w:tcPr>
          <w:p w14:paraId="1B3AB1EF" w14:textId="74B6336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Local Growth Funding</w:t>
            </w:r>
          </w:p>
        </w:tc>
        <w:tc>
          <w:tcPr>
            <w:tcW w:w="812" w:type="dxa"/>
          </w:tcPr>
          <w:p w14:paraId="35C8DD11" w14:textId="0CDE615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75D59456" w14:textId="4A4A052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1DA8AC2B" w14:textId="14B37C6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£20m</w:t>
            </w:r>
          </w:p>
        </w:tc>
        <w:tc>
          <w:tcPr>
            <w:tcW w:w="1084" w:type="dxa"/>
            <w:tcBorders>
              <w:top w:val="single" w:sz="8" w:space="0" w:color="auto"/>
              <w:left w:val="nil"/>
              <w:bottom w:val="single" w:sz="4" w:space="0" w:color="auto"/>
              <w:right w:val="single" w:sz="8" w:space="0" w:color="auto"/>
            </w:tcBorders>
          </w:tcPr>
          <w:p w14:paraId="6AE1AA16" w14:textId="1102D78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Ongoing </w:t>
            </w:r>
          </w:p>
        </w:tc>
        <w:tc>
          <w:tcPr>
            <w:tcW w:w="1531" w:type="dxa"/>
            <w:tcBorders>
              <w:top w:val="single" w:sz="8" w:space="0" w:color="auto"/>
              <w:left w:val="nil"/>
              <w:bottom w:val="single" w:sz="4" w:space="0" w:color="auto"/>
              <w:right w:val="single" w:sz="8" w:space="0" w:color="auto"/>
            </w:tcBorders>
          </w:tcPr>
          <w:p w14:paraId="6E46FE3B" w14:textId="51EE86A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No direct improvement</w:t>
            </w:r>
          </w:p>
        </w:tc>
        <w:tc>
          <w:tcPr>
            <w:tcW w:w="1362" w:type="dxa"/>
            <w:tcBorders>
              <w:top w:val="single" w:sz="8" w:space="0" w:color="auto"/>
              <w:left w:val="nil"/>
              <w:bottom w:val="single" w:sz="4" w:space="0" w:color="auto"/>
              <w:right w:val="single" w:sz="8" w:space="0" w:color="auto"/>
            </w:tcBorders>
          </w:tcPr>
          <w:p w14:paraId="34942188" w14:textId="49FC6B9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 Improved air quality,</w:t>
            </w:r>
          </w:p>
        </w:tc>
        <w:tc>
          <w:tcPr>
            <w:tcW w:w="1480" w:type="dxa"/>
            <w:tcBorders>
              <w:top w:val="single" w:sz="8" w:space="0" w:color="auto"/>
              <w:left w:val="nil"/>
              <w:bottom w:val="single" w:sz="4" w:space="0" w:color="auto"/>
              <w:right w:val="single" w:sz="8" w:space="0" w:color="auto"/>
            </w:tcBorders>
          </w:tcPr>
          <w:p w14:paraId="31D7413D" w14:textId="1D5E2AF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Opened in August 2019</w:t>
            </w:r>
          </w:p>
        </w:tc>
        <w:tc>
          <w:tcPr>
            <w:tcW w:w="3241" w:type="dxa"/>
            <w:tcBorders>
              <w:top w:val="single" w:sz="8" w:space="0" w:color="auto"/>
              <w:left w:val="nil"/>
              <w:bottom w:val="single" w:sz="4" w:space="0" w:color="auto"/>
              <w:right w:val="single" w:sz="8" w:space="0" w:color="auto"/>
            </w:tcBorders>
          </w:tcPr>
          <w:p w14:paraId="29EE8B0B"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32F471B4"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0FC0733C" w14:textId="66BAE506" w:rsidR="00F946DA" w:rsidRPr="00A26F71" w:rsidRDefault="00F946DA" w:rsidP="00F946DA">
            <w:pPr>
              <w:spacing w:before="0" w:after="0" w:line="240" w:lineRule="auto"/>
              <w:rPr>
                <w:sz w:val="20"/>
                <w:szCs w:val="20"/>
              </w:rPr>
            </w:pPr>
            <w:r w:rsidRPr="00A26F71">
              <w:rPr>
                <w:sz w:val="20"/>
                <w:szCs w:val="20"/>
              </w:rPr>
              <w:t>17</w:t>
            </w:r>
          </w:p>
        </w:tc>
        <w:tc>
          <w:tcPr>
            <w:tcW w:w="1383" w:type="dxa"/>
          </w:tcPr>
          <w:p w14:paraId="65117593" w14:textId="2AF100D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A19 Testos and Downhill lane junction improvements </w:t>
            </w:r>
          </w:p>
        </w:tc>
        <w:tc>
          <w:tcPr>
            <w:tcW w:w="1490" w:type="dxa"/>
          </w:tcPr>
          <w:p w14:paraId="69D86BC1" w14:textId="7AB9A33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Transport Planning and Infrastructure</w:t>
            </w:r>
          </w:p>
        </w:tc>
        <w:tc>
          <w:tcPr>
            <w:tcW w:w="1546" w:type="dxa"/>
          </w:tcPr>
          <w:p w14:paraId="2EAAC5C6" w14:textId="3EB6C1BB"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Public transport improvements-interchanges stations and services</w:t>
            </w:r>
          </w:p>
        </w:tc>
        <w:tc>
          <w:tcPr>
            <w:tcW w:w="1102" w:type="dxa"/>
          </w:tcPr>
          <w:p w14:paraId="0432F37C" w14:textId="77777777" w:rsidR="00F946DA" w:rsidRPr="00A26F71" w:rsidRDefault="00F946DA" w:rsidP="00F946DA">
            <w:pPr>
              <w:pStyle w:val="FootnoteText"/>
              <w:spacing w:before="0" w:line="240" w:lineRule="auto"/>
              <w:ind w:left="-57" w:right="-113"/>
              <w:cnfStyle w:val="000000000000" w:firstRow="0" w:lastRow="0" w:firstColumn="0" w:lastColumn="0" w:oddVBand="0" w:evenVBand="0" w:oddHBand="0" w:evenHBand="0" w:firstRowFirstColumn="0" w:firstRowLastColumn="0" w:lastRowFirstColumn="0" w:lastRowLastColumn="0"/>
            </w:pPr>
            <w:r w:rsidRPr="00A26F71">
              <w:t xml:space="preserve">Highways </w:t>
            </w:r>
          </w:p>
          <w:p w14:paraId="6871FDAA" w14:textId="31B399A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England</w:t>
            </w:r>
          </w:p>
        </w:tc>
        <w:tc>
          <w:tcPr>
            <w:tcW w:w="1126" w:type="dxa"/>
            <w:tcBorders>
              <w:top w:val="single" w:sz="8" w:space="0" w:color="auto"/>
              <w:left w:val="nil"/>
              <w:bottom w:val="single" w:sz="4" w:space="0" w:color="auto"/>
              <w:right w:val="single" w:sz="8" w:space="0" w:color="auto"/>
            </w:tcBorders>
          </w:tcPr>
          <w:p w14:paraId="781D608F" w14:textId="2BCA5BF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Testo’s open to traffic June 2021, Downhill Lane expected in 2022</w:t>
            </w:r>
          </w:p>
        </w:tc>
        <w:tc>
          <w:tcPr>
            <w:tcW w:w="1646" w:type="dxa"/>
            <w:tcBorders>
              <w:top w:val="single" w:sz="4" w:space="0" w:color="auto"/>
              <w:left w:val="single" w:sz="4" w:space="0" w:color="auto"/>
              <w:bottom w:val="single" w:sz="4" w:space="0" w:color="auto"/>
              <w:right w:val="single" w:sz="4" w:space="0" w:color="auto"/>
            </w:tcBorders>
          </w:tcPr>
          <w:p w14:paraId="175CBF33" w14:textId="77777777" w:rsidR="00F946DA" w:rsidRPr="00A26F71" w:rsidRDefault="00F946DA" w:rsidP="00F946DA">
            <w:pPr>
              <w:pStyle w:val="FootnoteText"/>
              <w:spacing w:before="0" w:line="240" w:lineRule="auto"/>
              <w:ind w:left="-57" w:right="-113"/>
              <w:cnfStyle w:val="000000000000" w:firstRow="0" w:lastRow="0" w:firstColumn="0" w:lastColumn="0" w:oddVBand="0" w:evenVBand="0" w:oddHBand="0" w:evenHBand="0" w:firstRowFirstColumn="0" w:firstRowLastColumn="0" w:lastRowFirstColumn="0" w:lastRowLastColumn="0"/>
            </w:pPr>
            <w:r w:rsidRPr="00A26F71">
              <w:t xml:space="preserve">Highways </w:t>
            </w:r>
          </w:p>
          <w:p w14:paraId="1A0E4D2E" w14:textId="5C1FCA2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England</w:t>
            </w:r>
          </w:p>
        </w:tc>
        <w:tc>
          <w:tcPr>
            <w:tcW w:w="1013" w:type="dxa"/>
          </w:tcPr>
          <w:p w14:paraId="31B3A1AC" w14:textId="44B79AB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Highways England RIS</w:t>
            </w:r>
          </w:p>
        </w:tc>
        <w:tc>
          <w:tcPr>
            <w:tcW w:w="812" w:type="dxa"/>
          </w:tcPr>
          <w:p w14:paraId="534E13A8" w14:textId="52B618A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7554FB81" w14:textId="2EDD43F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58417E25" w14:textId="79845CF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£125m</w:t>
            </w:r>
          </w:p>
        </w:tc>
        <w:tc>
          <w:tcPr>
            <w:tcW w:w="1084" w:type="dxa"/>
            <w:tcBorders>
              <w:top w:val="single" w:sz="8" w:space="0" w:color="auto"/>
              <w:left w:val="nil"/>
              <w:bottom w:val="single" w:sz="4" w:space="0" w:color="auto"/>
              <w:right w:val="single" w:sz="8" w:space="0" w:color="auto"/>
            </w:tcBorders>
          </w:tcPr>
          <w:p w14:paraId="63913C10" w14:textId="3511FBB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531" w:type="dxa"/>
            <w:tcBorders>
              <w:top w:val="single" w:sz="8" w:space="0" w:color="auto"/>
              <w:left w:val="nil"/>
              <w:bottom w:val="single" w:sz="4" w:space="0" w:color="auto"/>
              <w:right w:val="single" w:sz="8" w:space="0" w:color="auto"/>
            </w:tcBorders>
          </w:tcPr>
          <w:p w14:paraId="55BA1DDC" w14:textId="46B0F17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Improved Air Quality</w:t>
            </w:r>
          </w:p>
        </w:tc>
        <w:tc>
          <w:tcPr>
            <w:tcW w:w="1362" w:type="dxa"/>
            <w:tcBorders>
              <w:top w:val="single" w:sz="8" w:space="0" w:color="auto"/>
              <w:left w:val="nil"/>
              <w:bottom w:val="single" w:sz="4" w:space="0" w:color="auto"/>
              <w:right w:val="single" w:sz="8" w:space="0" w:color="auto"/>
            </w:tcBorders>
          </w:tcPr>
          <w:p w14:paraId="601857E9" w14:textId="304B220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lang w:eastAsia="en-GB"/>
              </w:rPr>
              <w:t>Providing a safe and serviceable road network</w:t>
            </w:r>
          </w:p>
        </w:tc>
        <w:tc>
          <w:tcPr>
            <w:tcW w:w="1480" w:type="dxa"/>
            <w:tcBorders>
              <w:top w:val="single" w:sz="8" w:space="0" w:color="auto"/>
              <w:left w:val="nil"/>
              <w:bottom w:val="single" w:sz="4" w:space="0" w:color="auto"/>
              <w:right w:val="single" w:sz="8" w:space="0" w:color="auto"/>
            </w:tcBorders>
          </w:tcPr>
          <w:p w14:paraId="20F1816E" w14:textId="40A387F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Testo’s open to traffic June 2021, Downhill Lane expected in 2022</w:t>
            </w:r>
          </w:p>
        </w:tc>
        <w:tc>
          <w:tcPr>
            <w:tcW w:w="3241" w:type="dxa"/>
            <w:tcBorders>
              <w:top w:val="single" w:sz="8" w:space="0" w:color="auto"/>
              <w:left w:val="nil"/>
              <w:bottom w:val="single" w:sz="4" w:space="0" w:color="auto"/>
              <w:right w:val="single" w:sz="8" w:space="0" w:color="auto"/>
            </w:tcBorders>
          </w:tcPr>
          <w:p w14:paraId="6BFF0F22" w14:textId="5CA3218F" w:rsidR="00F946DA" w:rsidRPr="00A26F71" w:rsidRDefault="00B6413C"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hyperlink r:id="rId32" w:history="1">
              <w:r w:rsidR="00F946DA" w:rsidRPr="00A26F71">
                <w:rPr>
                  <w:rStyle w:val="Hyperlink"/>
                  <w:sz w:val="20"/>
                  <w:szCs w:val="20"/>
                </w:rPr>
                <w:t>http://www.highways.gov.uk/roads/road-projects/a19-testos-junction-improvements/</w:t>
              </w:r>
            </w:hyperlink>
          </w:p>
        </w:tc>
      </w:tr>
      <w:tr w:rsidR="00F946DA" w:rsidRPr="00116356" w14:paraId="3C6ECBCB"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13DB2004" w14:textId="018CFC0C" w:rsidR="00F946DA" w:rsidRPr="00A26F71" w:rsidRDefault="00F946DA" w:rsidP="00F946DA">
            <w:pPr>
              <w:spacing w:before="0" w:after="0" w:line="240" w:lineRule="auto"/>
              <w:rPr>
                <w:sz w:val="20"/>
                <w:szCs w:val="20"/>
              </w:rPr>
            </w:pPr>
            <w:r w:rsidRPr="00A26F71">
              <w:rPr>
                <w:sz w:val="20"/>
                <w:szCs w:val="20"/>
              </w:rPr>
              <w:t>18</w:t>
            </w:r>
          </w:p>
        </w:tc>
        <w:tc>
          <w:tcPr>
            <w:tcW w:w="1383" w:type="dxa"/>
          </w:tcPr>
          <w:p w14:paraId="5867F9E4" w14:textId="18AE0EE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 Active Travel Work stream</w:t>
            </w:r>
          </w:p>
        </w:tc>
        <w:tc>
          <w:tcPr>
            <w:tcW w:w="1490" w:type="dxa"/>
          </w:tcPr>
          <w:p w14:paraId="27EA81C3" w14:textId="687EBD1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Vehicle Fleet Efficiency</w:t>
            </w:r>
          </w:p>
        </w:tc>
        <w:tc>
          <w:tcPr>
            <w:tcW w:w="1546" w:type="dxa"/>
          </w:tcPr>
          <w:p w14:paraId="6A80D8D3" w14:textId="6129D6EA"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Driver training and ECO driving aids</w:t>
            </w:r>
          </w:p>
        </w:tc>
        <w:tc>
          <w:tcPr>
            <w:tcW w:w="1102" w:type="dxa"/>
          </w:tcPr>
          <w:p w14:paraId="6C0AFF53" w14:textId="1D26BB35"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NECA</w:t>
            </w:r>
          </w:p>
        </w:tc>
        <w:tc>
          <w:tcPr>
            <w:tcW w:w="1126" w:type="dxa"/>
            <w:tcBorders>
              <w:top w:val="single" w:sz="8" w:space="0" w:color="auto"/>
              <w:left w:val="nil"/>
              <w:bottom w:val="single" w:sz="4" w:space="0" w:color="auto"/>
              <w:right w:val="single" w:sz="8" w:space="0" w:color="auto"/>
            </w:tcBorders>
          </w:tcPr>
          <w:p w14:paraId="7CF209D6" w14:textId="0D3738A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6C704C27" w14:textId="4A9A8CE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NECA</w:t>
            </w:r>
          </w:p>
        </w:tc>
        <w:tc>
          <w:tcPr>
            <w:tcW w:w="1013" w:type="dxa"/>
          </w:tcPr>
          <w:p w14:paraId="2B266649" w14:textId="65F0AAC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7B2ECA92" w14:textId="5CD4962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4D1E2AE4" w14:textId="6290DAF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19603D61" w14:textId="6A2D012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single" w:sz="8" w:space="0" w:color="auto"/>
              <w:left w:val="nil"/>
              <w:bottom w:val="single" w:sz="4" w:space="0" w:color="auto"/>
              <w:right w:val="single" w:sz="8" w:space="0" w:color="auto"/>
            </w:tcBorders>
          </w:tcPr>
          <w:p w14:paraId="1C1F6FD5" w14:textId="0DF1F6B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531" w:type="dxa"/>
            <w:tcBorders>
              <w:top w:val="single" w:sz="8" w:space="0" w:color="auto"/>
              <w:left w:val="nil"/>
              <w:bottom w:val="single" w:sz="4" w:space="0" w:color="auto"/>
              <w:right w:val="single" w:sz="8" w:space="0" w:color="auto"/>
            </w:tcBorders>
          </w:tcPr>
          <w:p w14:paraId="7D11FDB1" w14:textId="0D2D181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Limited improvements</w:t>
            </w:r>
          </w:p>
        </w:tc>
        <w:tc>
          <w:tcPr>
            <w:tcW w:w="1362" w:type="dxa"/>
            <w:tcBorders>
              <w:top w:val="single" w:sz="8" w:space="0" w:color="auto"/>
              <w:left w:val="nil"/>
              <w:bottom w:val="single" w:sz="4" w:space="0" w:color="auto"/>
              <w:right w:val="single" w:sz="8" w:space="0" w:color="auto"/>
            </w:tcBorders>
          </w:tcPr>
          <w:p w14:paraId="363E5BCC" w14:textId="1FB139D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 Improved air quality,</w:t>
            </w:r>
          </w:p>
        </w:tc>
        <w:tc>
          <w:tcPr>
            <w:tcW w:w="1480" w:type="dxa"/>
            <w:tcBorders>
              <w:top w:val="single" w:sz="8" w:space="0" w:color="auto"/>
              <w:left w:val="nil"/>
              <w:bottom w:val="single" w:sz="4" w:space="0" w:color="auto"/>
              <w:right w:val="single" w:sz="8" w:space="0" w:color="auto"/>
            </w:tcBorders>
          </w:tcPr>
          <w:p w14:paraId="11547B8D" w14:textId="794B523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71148CE9"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2C6590EF"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1B179DEF" w14:textId="4F75F21F" w:rsidR="00F946DA" w:rsidRPr="00A26F71" w:rsidRDefault="00F946DA" w:rsidP="00F946DA">
            <w:pPr>
              <w:spacing w:before="0" w:after="0" w:line="240" w:lineRule="auto"/>
              <w:rPr>
                <w:sz w:val="20"/>
                <w:szCs w:val="20"/>
              </w:rPr>
            </w:pPr>
            <w:r w:rsidRPr="00A26F71">
              <w:rPr>
                <w:sz w:val="20"/>
                <w:szCs w:val="20"/>
              </w:rPr>
              <w:t>19</w:t>
            </w:r>
          </w:p>
        </w:tc>
        <w:tc>
          <w:tcPr>
            <w:tcW w:w="1383" w:type="dxa"/>
          </w:tcPr>
          <w:p w14:paraId="7412A3A0" w14:textId="7AD66C2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Travel Information through the UTMC centre</w:t>
            </w:r>
          </w:p>
        </w:tc>
        <w:tc>
          <w:tcPr>
            <w:tcW w:w="1490" w:type="dxa"/>
          </w:tcPr>
          <w:p w14:paraId="0A1C2E1C" w14:textId="0F00B6D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rFonts w:eastAsiaTheme="minorHAnsi" w:cs="Arial"/>
                <w:sz w:val="20"/>
                <w:szCs w:val="20"/>
              </w:rPr>
              <w:t>Traffic planning and management</w:t>
            </w:r>
          </w:p>
        </w:tc>
        <w:tc>
          <w:tcPr>
            <w:tcW w:w="1546" w:type="dxa"/>
          </w:tcPr>
          <w:p w14:paraId="76219ABF" w14:textId="297239E2"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UTC, Congestion management, traffic reduction</w:t>
            </w:r>
          </w:p>
        </w:tc>
        <w:tc>
          <w:tcPr>
            <w:tcW w:w="1102" w:type="dxa"/>
          </w:tcPr>
          <w:p w14:paraId="023A8288" w14:textId="1E23514B"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NECA / STC</w:t>
            </w:r>
          </w:p>
        </w:tc>
        <w:tc>
          <w:tcPr>
            <w:tcW w:w="1126" w:type="dxa"/>
            <w:tcBorders>
              <w:top w:val="single" w:sz="8" w:space="0" w:color="auto"/>
              <w:left w:val="nil"/>
              <w:bottom w:val="single" w:sz="4" w:space="0" w:color="auto"/>
              <w:right w:val="single" w:sz="8" w:space="0" w:color="auto"/>
            </w:tcBorders>
          </w:tcPr>
          <w:p w14:paraId="19AE59AD" w14:textId="1A840B7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50B2F327" w14:textId="261CAB9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NECA / STC</w:t>
            </w:r>
          </w:p>
        </w:tc>
        <w:tc>
          <w:tcPr>
            <w:tcW w:w="1013" w:type="dxa"/>
          </w:tcPr>
          <w:p w14:paraId="7C26FD93" w14:textId="5B933E8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7EDAEB82" w14:textId="3AD3258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2F89C4DA" w14:textId="5152728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5351A4F4" w14:textId="63003C0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single" w:sz="8" w:space="0" w:color="auto"/>
              <w:left w:val="nil"/>
              <w:bottom w:val="single" w:sz="4" w:space="0" w:color="auto"/>
              <w:right w:val="single" w:sz="8" w:space="0" w:color="auto"/>
            </w:tcBorders>
          </w:tcPr>
          <w:p w14:paraId="7E320299" w14:textId="1691B70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531" w:type="dxa"/>
            <w:tcBorders>
              <w:top w:val="single" w:sz="8" w:space="0" w:color="auto"/>
              <w:left w:val="nil"/>
              <w:bottom w:val="single" w:sz="4" w:space="0" w:color="auto"/>
              <w:right w:val="single" w:sz="8" w:space="0" w:color="auto"/>
            </w:tcBorders>
          </w:tcPr>
          <w:p w14:paraId="5F9A9F3E" w14:textId="1600D48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Yes</w:t>
            </w:r>
          </w:p>
        </w:tc>
        <w:tc>
          <w:tcPr>
            <w:tcW w:w="1362" w:type="dxa"/>
            <w:tcBorders>
              <w:top w:val="single" w:sz="8" w:space="0" w:color="auto"/>
              <w:left w:val="nil"/>
              <w:bottom w:val="single" w:sz="4" w:space="0" w:color="auto"/>
              <w:right w:val="single" w:sz="8" w:space="0" w:color="auto"/>
            </w:tcBorders>
          </w:tcPr>
          <w:p w14:paraId="49DBEA82" w14:textId="1829BF1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 Improved air quality,</w:t>
            </w:r>
          </w:p>
        </w:tc>
        <w:tc>
          <w:tcPr>
            <w:tcW w:w="1480" w:type="dxa"/>
            <w:tcBorders>
              <w:top w:val="single" w:sz="8" w:space="0" w:color="auto"/>
              <w:left w:val="nil"/>
              <w:bottom w:val="single" w:sz="4" w:space="0" w:color="auto"/>
              <w:right w:val="single" w:sz="8" w:space="0" w:color="auto"/>
            </w:tcBorders>
          </w:tcPr>
          <w:p w14:paraId="14C06707" w14:textId="599D53E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343D3D4D"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47B87FF3"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70910191" w14:textId="0C116519" w:rsidR="00F946DA" w:rsidRPr="00A26F71" w:rsidRDefault="00F946DA" w:rsidP="00F946DA">
            <w:pPr>
              <w:spacing w:before="0" w:after="0" w:line="240" w:lineRule="auto"/>
              <w:rPr>
                <w:sz w:val="20"/>
                <w:szCs w:val="20"/>
              </w:rPr>
            </w:pPr>
            <w:r w:rsidRPr="00A26F71">
              <w:rPr>
                <w:sz w:val="20"/>
                <w:szCs w:val="20"/>
              </w:rPr>
              <w:t>20</w:t>
            </w:r>
          </w:p>
        </w:tc>
        <w:tc>
          <w:tcPr>
            <w:tcW w:w="1383" w:type="dxa"/>
          </w:tcPr>
          <w:p w14:paraId="05F607EC" w14:textId="12601F1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Junction Improvements within the borough</w:t>
            </w:r>
          </w:p>
        </w:tc>
        <w:tc>
          <w:tcPr>
            <w:tcW w:w="1490" w:type="dxa"/>
          </w:tcPr>
          <w:p w14:paraId="4A9AA01B" w14:textId="0C947E6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inorHAnsi" w:cs="Arial"/>
                <w:sz w:val="20"/>
                <w:szCs w:val="20"/>
              </w:rPr>
            </w:pPr>
            <w:r w:rsidRPr="00A26F71">
              <w:rPr>
                <w:sz w:val="20"/>
                <w:szCs w:val="20"/>
              </w:rPr>
              <w:t>Traffic Planning and Management</w:t>
            </w:r>
          </w:p>
        </w:tc>
        <w:tc>
          <w:tcPr>
            <w:tcW w:w="1546" w:type="dxa"/>
          </w:tcPr>
          <w:p w14:paraId="28FD0E91" w14:textId="37C139B6"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UTC, Congestion management, traffic reduction</w:t>
            </w:r>
          </w:p>
        </w:tc>
        <w:tc>
          <w:tcPr>
            <w:tcW w:w="1102" w:type="dxa"/>
          </w:tcPr>
          <w:p w14:paraId="0F249397" w14:textId="0ACFD93B"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093EC334" w14:textId="56B7EC8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47D34FF9" w14:textId="34EEF39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10AFD223" w14:textId="1B0C692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Local Growth Funding</w:t>
            </w:r>
          </w:p>
        </w:tc>
        <w:tc>
          <w:tcPr>
            <w:tcW w:w="812" w:type="dxa"/>
          </w:tcPr>
          <w:p w14:paraId="441D318D" w14:textId="462A0FD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2F02C7D7" w14:textId="56AED12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18B93FE0" w14:textId="0B9A661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single" w:sz="8" w:space="0" w:color="auto"/>
              <w:left w:val="nil"/>
              <w:bottom w:val="single" w:sz="4" w:space="0" w:color="auto"/>
              <w:right w:val="single" w:sz="8" w:space="0" w:color="auto"/>
            </w:tcBorders>
          </w:tcPr>
          <w:p w14:paraId="15D433C4" w14:textId="6F272909"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531" w:type="dxa"/>
            <w:tcBorders>
              <w:top w:val="single" w:sz="8" w:space="0" w:color="auto"/>
              <w:left w:val="nil"/>
              <w:bottom w:val="single" w:sz="4" w:space="0" w:color="auto"/>
              <w:right w:val="single" w:sz="8" w:space="0" w:color="auto"/>
            </w:tcBorders>
          </w:tcPr>
          <w:p w14:paraId="08D2B34F" w14:textId="38E56FF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Yes</w:t>
            </w:r>
          </w:p>
        </w:tc>
        <w:tc>
          <w:tcPr>
            <w:tcW w:w="1362" w:type="dxa"/>
            <w:tcBorders>
              <w:top w:val="single" w:sz="8" w:space="0" w:color="auto"/>
              <w:left w:val="nil"/>
              <w:bottom w:val="single" w:sz="4" w:space="0" w:color="auto"/>
              <w:right w:val="single" w:sz="8" w:space="0" w:color="auto"/>
            </w:tcBorders>
          </w:tcPr>
          <w:p w14:paraId="16358DA8" w14:textId="78C3782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 Improved air quality,</w:t>
            </w:r>
          </w:p>
        </w:tc>
        <w:tc>
          <w:tcPr>
            <w:tcW w:w="1480" w:type="dxa"/>
            <w:tcBorders>
              <w:top w:val="single" w:sz="8" w:space="0" w:color="auto"/>
              <w:left w:val="nil"/>
              <w:bottom w:val="single" w:sz="4" w:space="0" w:color="auto"/>
              <w:right w:val="single" w:sz="8" w:space="0" w:color="auto"/>
            </w:tcBorders>
          </w:tcPr>
          <w:p w14:paraId="1F88231A" w14:textId="03A8BBF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44B75158"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161D777C"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3E4292EF" w14:textId="037D87DF" w:rsidR="00F946DA" w:rsidRPr="00A26F71" w:rsidRDefault="00F946DA" w:rsidP="00F946DA">
            <w:pPr>
              <w:spacing w:before="0" w:after="0" w:line="240" w:lineRule="auto"/>
              <w:rPr>
                <w:sz w:val="20"/>
                <w:szCs w:val="20"/>
              </w:rPr>
            </w:pPr>
            <w:r w:rsidRPr="00A26F71">
              <w:rPr>
                <w:sz w:val="20"/>
                <w:szCs w:val="20"/>
              </w:rPr>
              <w:t>21</w:t>
            </w:r>
          </w:p>
        </w:tc>
        <w:tc>
          <w:tcPr>
            <w:tcW w:w="1383" w:type="dxa"/>
          </w:tcPr>
          <w:p w14:paraId="1B0BA7EE" w14:textId="01D235D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Intelligent Transport Solutions at Key Junctions</w:t>
            </w:r>
          </w:p>
        </w:tc>
        <w:tc>
          <w:tcPr>
            <w:tcW w:w="1490" w:type="dxa"/>
          </w:tcPr>
          <w:p w14:paraId="2936056B" w14:textId="7868BCB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Traffic Planning and Management</w:t>
            </w:r>
          </w:p>
        </w:tc>
        <w:tc>
          <w:tcPr>
            <w:tcW w:w="1546" w:type="dxa"/>
          </w:tcPr>
          <w:p w14:paraId="187A96F1" w14:textId="651DA8FA"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UTC, Congestion management, traffic reduction</w:t>
            </w:r>
          </w:p>
        </w:tc>
        <w:tc>
          <w:tcPr>
            <w:tcW w:w="1102" w:type="dxa"/>
          </w:tcPr>
          <w:p w14:paraId="31FD5074" w14:textId="3DE87B94"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5E042EC2" w14:textId="68F9E84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6182A04A" w14:textId="4E03520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6B4C3296" w14:textId="3D4A43B0"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653DA06C" w14:textId="6513828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084039DC" w14:textId="3883CC8A"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22F8729B" w14:textId="334A8CE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single" w:sz="8" w:space="0" w:color="auto"/>
              <w:left w:val="nil"/>
              <w:bottom w:val="single" w:sz="4" w:space="0" w:color="auto"/>
              <w:right w:val="single" w:sz="8" w:space="0" w:color="auto"/>
            </w:tcBorders>
          </w:tcPr>
          <w:p w14:paraId="30517B4D" w14:textId="4C5E1F8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Ongoing </w:t>
            </w:r>
          </w:p>
        </w:tc>
        <w:tc>
          <w:tcPr>
            <w:tcW w:w="1531" w:type="dxa"/>
            <w:tcBorders>
              <w:top w:val="single" w:sz="8" w:space="0" w:color="auto"/>
              <w:left w:val="nil"/>
              <w:bottom w:val="single" w:sz="4" w:space="0" w:color="auto"/>
              <w:right w:val="single" w:sz="8" w:space="0" w:color="auto"/>
            </w:tcBorders>
          </w:tcPr>
          <w:p w14:paraId="40F40E64" w14:textId="55064B4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 xml:space="preserve">Yes </w:t>
            </w:r>
          </w:p>
        </w:tc>
        <w:tc>
          <w:tcPr>
            <w:tcW w:w="1362" w:type="dxa"/>
            <w:tcBorders>
              <w:top w:val="single" w:sz="8" w:space="0" w:color="auto"/>
              <w:left w:val="nil"/>
              <w:bottom w:val="single" w:sz="4" w:space="0" w:color="auto"/>
              <w:right w:val="single" w:sz="8" w:space="0" w:color="auto"/>
            </w:tcBorders>
          </w:tcPr>
          <w:p w14:paraId="6DD8EEDD" w14:textId="02CDB372"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 Improved air quality,</w:t>
            </w:r>
          </w:p>
        </w:tc>
        <w:tc>
          <w:tcPr>
            <w:tcW w:w="1480" w:type="dxa"/>
            <w:tcBorders>
              <w:top w:val="single" w:sz="8" w:space="0" w:color="auto"/>
              <w:left w:val="nil"/>
              <w:bottom w:val="single" w:sz="4" w:space="0" w:color="auto"/>
              <w:right w:val="single" w:sz="8" w:space="0" w:color="auto"/>
            </w:tcBorders>
          </w:tcPr>
          <w:p w14:paraId="36507AA3" w14:textId="7B4057B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487D9DD9"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7239E73C"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07082492" w14:textId="3268D30C" w:rsidR="00F946DA" w:rsidRPr="00A26F71" w:rsidRDefault="00F946DA" w:rsidP="00F946DA">
            <w:pPr>
              <w:spacing w:before="0" w:after="0" w:line="240" w:lineRule="auto"/>
              <w:rPr>
                <w:sz w:val="20"/>
                <w:szCs w:val="20"/>
              </w:rPr>
            </w:pPr>
            <w:r w:rsidRPr="00A26F71">
              <w:rPr>
                <w:sz w:val="20"/>
                <w:szCs w:val="20"/>
              </w:rPr>
              <w:t>22</w:t>
            </w:r>
          </w:p>
        </w:tc>
        <w:tc>
          <w:tcPr>
            <w:tcW w:w="1383" w:type="dxa"/>
          </w:tcPr>
          <w:p w14:paraId="5E6FA391" w14:textId="7A753CB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 xml:space="preserve">Successful Clean Bus Fund Bid </w:t>
            </w:r>
          </w:p>
        </w:tc>
        <w:tc>
          <w:tcPr>
            <w:tcW w:w="1490" w:type="dxa"/>
          </w:tcPr>
          <w:p w14:paraId="7BE2EA28" w14:textId="7EA70BA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Promoting Travel Alternatives</w:t>
            </w:r>
          </w:p>
        </w:tc>
        <w:tc>
          <w:tcPr>
            <w:tcW w:w="1546" w:type="dxa"/>
          </w:tcPr>
          <w:p w14:paraId="4B3E03BB" w14:textId="6976D11E"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Public transport improvements-interchanges stations and services</w:t>
            </w:r>
          </w:p>
        </w:tc>
        <w:tc>
          <w:tcPr>
            <w:tcW w:w="1102" w:type="dxa"/>
          </w:tcPr>
          <w:p w14:paraId="2521F8DF" w14:textId="0E4168CF"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235557FC" w14:textId="5650176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Delivered</w:t>
            </w:r>
          </w:p>
        </w:tc>
        <w:tc>
          <w:tcPr>
            <w:tcW w:w="1646" w:type="dxa"/>
            <w:tcBorders>
              <w:top w:val="single" w:sz="4" w:space="0" w:color="auto"/>
              <w:left w:val="single" w:sz="4" w:space="0" w:color="auto"/>
              <w:bottom w:val="single" w:sz="4" w:space="0" w:color="auto"/>
              <w:right w:val="single" w:sz="4" w:space="0" w:color="auto"/>
            </w:tcBorders>
          </w:tcPr>
          <w:p w14:paraId="1C1D1147" w14:textId="706F9C0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222C8326" w14:textId="4E0C00F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Clean Bus Funding</w:t>
            </w:r>
          </w:p>
        </w:tc>
        <w:tc>
          <w:tcPr>
            <w:tcW w:w="812" w:type="dxa"/>
          </w:tcPr>
          <w:p w14:paraId="20AFFEAE" w14:textId="3D8DBA0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1ACA23B1" w14:textId="0127790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57C805E8" w14:textId="625A3E55"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84" w:type="dxa"/>
            <w:tcBorders>
              <w:top w:val="single" w:sz="8" w:space="0" w:color="auto"/>
              <w:left w:val="nil"/>
              <w:bottom w:val="single" w:sz="4" w:space="0" w:color="auto"/>
              <w:right w:val="single" w:sz="8" w:space="0" w:color="auto"/>
            </w:tcBorders>
          </w:tcPr>
          <w:p w14:paraId="2F976F7F" w14:textId="51EC4F31"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Construction started in 2018</w:t>
            </w:r>
          </w:p>
        </w:tc>
        <w:tc>
          <w:tcPr>
            <w:tcW w:w="1531" w:type="dxa"/>
            <w:tcBorders>
              <w:top w:val="single" w:sz="8" w:space="0" w:color="auto"/>
              <w:left w:val="nil"/>
              <w:bottom w:val="single" w:sz="4" w:space="0" w:color="auto"/>
              <w:right w:val="single" w:sz="8" w:space="0" w:color="auto"/>
            </w:tcBorders>
          </w:tcPr>
          <w:p w14:paraId="5F9D2949" w14:textId="6D829AC3"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Yes</w:t>
            </w:r>
          </w:p>
        </w:tc>
        <w:tc>
          <w:tcPr>
            <w:tcW w:w="1362" w:type="dxa"/>
            <w:tcBorders>
              <w:top w:val="single" w:sz="8" w:space="0" w:color="auto"/>
              <w:left w:val="nil"/>
              <w:bottom w:val="single" w:sz="4" w:space="0" w:color="auto"/>
              <w:right w:val="single" w:sz="8" w:space="0" w:color="auto"/>
            </w:tcBorders>
          </w:tcPr>
          <w:p w14:paraId="2B45C0AB" w14:textId="009255E6"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 Improved air quality,</w:t>
            </w:r>
          </w:p>
        </w:tc>
        <w:tc>
          <w:tcPr>
            <w:tcW w:w="1480" w:type="dxa"/>
            <w:tcBorders>
              <w:top w:val="single" w:sz="8" w:space="0" w:color="auto"/>
              <w:left w:val="nil"/>
              <w:bottom w:val="single" w:sz="4" w:space="0" w:color="auto"/>
              <w:right w:val="single" w:sz="8" w:space="0" w:color="auto"/>
            </w:tcBorders>
          </w:tcPr>
          <w:p w14:paraId="2DFD3039" w14:textId="6E71BE8D"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Delivered</w:t>
            </w:r>
          </w:p>
        </w:tc>
        <w:tc>
          <w:tcPr>
            <w:tcW w:w="3241" w:type="dxa"/>
            <w:tcBorders>
              <w:top w:val="single" w:sz="8" w:space="0" w:color="auto"/>
              <w:left w:val="nil"/>
              <w:bottom w:val="single" w:sz="4" w:space="0" w:color="auto"/>
              <w:right w:val="single" w:sz="8" w:space="0" w:color="auto"/>
            </w:tcBorders>
          </w:tcPr>
          <w:p w14:paraId="652FB4D9"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F946DA" w:rsidRPr="00116356" w14:paraId="4ADFDD52" w14:textId="77777777" w:rsidTr="00C36CF4">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09F03B43" w14:textId="093A63A4" w:rsidR="00F946DA" w:rsidRPr="00A26F71" w:rsidRDefault="00F946DA" w:rsidP="00F946DA">
            <w:pPr>
              <w:spacing w:before="0" w:after="0" w:line="240" w:lineRule="auto"/>
              <w:rPr>
                <w:sz w:val="20"/>
                <w:szCs w:val="20"/>
              </w:rPr>
            </w:pPr>
            <w:r w:rsidRPr="00A26F71">
              <w:rPr>
                <w:sz w:val="20"/>
                <w:szCs w:val="20"/>
              </w:rPr>
              <w:t>23</w:t>
            </w:r>
          </w:p>
        </w:tc>
        <w:tc>
          <w:tcPr>
            <w:tcW w:w="1383" w:type="dxa"/>
          </w:tcPr>
          <w:p w14:paraId="601E3F65" w14:textId="200D3DAE"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Delivery of the Council’s Strategic Transport Priorities</w:t>
            </w:r>
          </w:p>
        </w:tc>
        <w:tc>
          <w:tcPr>
            <w:tcW w:w="1490" w:type="dxa"/>
          </w:tcPr>
          <w:p w14:paraId="0372FF87" w14:textId="3704116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Traffic Planning and Management</w:t>
            </w:r>
          </w:p>
        </w:tc>
        <w:tc>
          <w:tcPr>
            <w:tcW w:w="1546" w:type="dxa"/>
          </w:tcPr>
          <w:p w14:paraId="6DC19EDA" w14:textId="321C8A6A"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Congestion management, traffic reduction</w:t>
            </w:r>
          </w:p>
        </w:tc>
        <w:tc>
          <w:tcPr>
            <w:tcW w:w="1102" w:type="dxa"/>
          </w:tcPr>
          <w:p w14:paraId="37F815F8" w14:textId="0BF6D0DD" w:rsidR="00F946DA" w:rsidRPr="00A26F71" w:rsidRDefault="00F946DA" w:rsidP="00F946DA">
            <w:pPr>
              <w:spacing w:before="0" w:after="0" w:line="240" w:lineRule="auto"/>
              <w:ind w:left="-57" w:right="-113"/>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STC</w:t>
            </w:r>
          </w:p>
        </w:tc>
        <w:tc>
          <w:tcPr>
            <w:tcW w:w="1126" w:type="dxa"/>
            <w:tcBorders>
              <w:top w:val="single" w:sz="8" w:space="0" w:color="auto"/>
              <w:left w:val="nil"/>
              <w:bottom w:val="single" w:sz="4" w:space="0" w:color="auto"/>
              <w:right w:val="single" w:sz="8" w:space="0" w:color="auto"/>
            </w:tcBorders>
          </w:tcPr>
          <w:p w14:paraId="436F9FD6" w14:textId="599F763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1646" w:type="dxa"/>
            <w:tcBorders>
              <w:top w:val="single" w:sz="4" w:space="0" w:color="auto"/>
              <w:left w:val="single" w:sz="4" w:space="0" w:color="auto"/>
              <w:bottom w:val="single" w:sz="4" w:space="0" w:color="auto"/>
              <w:right w:val="single" w:sz="4" w:space="0" w:color="auto"/>
            </w:tcBorders>
          </w:tcPr>
          <w:p w14:paraId="2C53BF4B" w14:textId="04C1BA8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STC</w:t>
            </w:r>
          </w:p>
        </w:tc>
        <w:tc>
          <w:tcPr>
            <w:tcW w:w="1013" w:type="dxa"/>
          </w:tcPr>
          <w:p w14:paraId="23DE5EF7" w14:textId="3B161F58"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Various Central Government</w:t>
            </w:r>
          </w:p>
        </w:tc>
        <w:tc>
          <w:tcPr>
            <w:tcW w:w="812" w:type="dxa"/>
          </w:tcPr>
          <w:p w14:paraId="24EDDE7B" w14:textId="5ABD3774"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812" w:type="dxa"/>
          </w:tcPr>
          <w:p w14:paraId="547CE9BA" w14:textId="280537B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n/a</w:t>
            </w:r>
          </w:p>
        </w:tc>
        <w:tc>
          <w:tcPr>
            <w:tcW w:w="1069" w:type="dxa"/>
          </w:tcPr>
          <w:p w14:paraId="571F64A1" w14:textId="6B37CB8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26F71">
              <w:rPr>
                <w:sz w:val="20"/>
                <w:szCs w:val="20"/>
              </w:rPr>
              <w:t>various</w:t>
            </w:r>
          </w:p>
        </w:tc>
        <w:tc>
          <w:tcPr>
            <w:tcW w:w="1084" w:type="dxa"/>
            <w:tcBorders>
              <w:top w:val="single" w:sz="8" w:space="0" w:color="auto"/>
              <w:left w:val="nil"/>
              <w:bottom w:val="single" w:sz="4" w:space="0" w:color="auto"/>
              <w:right w:val="single" w:sz="8" w:space="0" w:color="auto"/>
            </w:tcBorders>
          </w:tcPr>
          <w:p w14:paraId="71A6D9C6"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inorHAnsi" w:cs="Arial"/>
                <w:sz w:val="20"/>
                <w:szCs w:val="20"/>
              </w:rPr>
            </w:pPr>
            <w:r w:rsidRPr="00A26F71">
              <w:rPr>
                <w:sz w:val="20"/>
                <w:szCs w:val="20"/>
              </w:rPr>
              <w:t>Construction from 2019</w:t>
            </w:r>
          </w:p>
          <w:p w14:paraId="6A644914"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531" w:type="dxa"/>
            <w:tcBorders>
              <w:top w:val="single" w:sz="8" w:space="0" w:color="auto"/>
              <w:left w:val="nil"/>
              <w:bottom w:val="single" w:sz="4" w:space="0" w:color="auto"/>
              <w:right w:val="single" w:sz="8" w:space="0" w:color="auto"/>
            </w:tcBorders>
          </w:tcPr>
          <w:p w14:paraId="2454873E" w14:textId="46781EFB"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Yes</w:t>
            </w:r>
          </w:p>
        </w:tc>
        <w:tc>
          <w:tcPr>
            <w:tcW w:w="1362" w:type="dxa"/>
            <w:tcBorders>
              <w:top w:val="single" w:sz="8" w:space="0" w:color="auto"/>
              <w:left w:val="nil"/>
              <w:bottom w:val="single" w:sz="4" w:space="0" w:color="auto"/>
              <w:right w:val="single" w:sz="8" w:space="0" w:color="auto"/>
            </w:tcBorders>
          </w:tcPr>
          <w:p w14:paraId="59D51C7B" w14:textId="640CEB7F"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Reduced emissions, Improved air quality</w:t>
            </w:r>
          </w:p>
        </w:tc>
        <w:tc>
          <w:tcPr>
            <w:tcW w:w="1480" w:type="dxa"/>
            <w:tcBorders>
              <w:top w:val="single" w:sz="8" w:space="0" w:color="auto"/>
              <w:left w:val="nil"/>
              <w:bottom w:val="single" w:sz="4" w:space="0" w:color="auto"/>
              <w:right w:val="single" w:sz="8" w:space="0" w:color="auto"/>
            </w:tcBorders>
          </w:tcPr>
          <w:p w14:paraId="5FB2750C" w14:textId="1CA8148C"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A26F71">
              <w:rPr>
                <w:sz w:val="20"/>
                <w:szCs w:val="20"/>
              </w:rPr>
              <w:t>Ongoing</w:t>
            </w:r>
          </w:p>
        </w:tc>
        <w:tc>
          <w:tcPr>
            <w:tcW w:w="3241" w:type="dxa"/>
            <w:tcBorders>
              <w:top w:val="single" w:sz="8" w:space="0" w:color="auto"/>
              <w:left w:val="nil"/>
              <w:bottom w:val="single" w:sz="4" w:space="0" w:color="auto"/>
              <w:right w:val="single" w:sz="8" w:space="0" w:color="auto"/>
            </w:tcBorders>
          </w:tcPr>
          <w:p w14:paraId="5C412972" w14:textId="77777777" w:rsidR="00F946DA" w:rsidRPr="00A26F71" w:rsidRDefault="00F946DA" w:rsidP="00F946D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
        </w:tc>
      </w:tr>
    </w:tbl>
    <w:p w14:paraId="6F091AB7" w14:textId="77777777" w:rsidR="00141AA2" w:rsidRDefault="00141AA2" w:rsidP="00400B0F"/>
    <w:p w14:paraId="2AC210CC" w14:textId="77777777" w:rsidR="00B15249" w:rsidRPr="00B15249" w:rsidRDefault="00B15249" w:rsidP="00400B0F">
      <w:pPr>
        <w:sectPr w:rsidR="00B15249" w:rsidRPr="00B15249" w:rsidSect="003172A5">
          <w:footerReference w:type="default" r:id="rId33"/>
          <w:footerReference w:type="first" r:id="rId34"/>
          <w:pgSz w:w="23814" w:h="16839" w:orient="landscape" w:code="8"/>
          <w:pgMar w:top="1134" w:right="1134" w:bottom="1134" w:left="1134" w:header="340" w:footer="340" w:gutter="0"/>
          <w:cols w:space="708"/>
          <w:docGrid w:linePitch="326"/>
        </w:sectPr>
      </w:pPr>
    </w:p>
    <w:p w14:paraId="720B3859" w14:textId="018F827E" w:rsidR="00EC5AA4" w:rsidRPr="005753E5" w:rsidRDefault="00F805A3" w:rsidP="0062374A">
      <w:pPr>
        <w:pStyle w:val="Heading2"/>
      </w:pPr>
      <w:bookmarkStart w:id="39" w:name="_Ref67921926"/>
      <w:bookmarkStart w:id="40" w:name="_Ref67921989"/>
      <w:bookmarkStart w:id="41" w:name="_Toc75438378"/>
      <w:r>
        <w:t xml:space="preserve">2.3 </w:t>
      </w:r>
      <w:r w:rsidR="00B15249" w:rsidRPr="00B15249">
        <w:t>PM</w:t>
      </w:r>
      <w:r w:rsidR="00B15249" w:rsidRPr="00B15249">
        <w:rPr>
          <w:vertAlign w:val="subscript"/>
        </w:rPr>
        <w:t xml:space="preserve">2.5 </w:t>
      </w:r>
      <w:r w:rsidR="00B15249" w:rsidRPr="00B15249">
        <w:t>– Local Authority Approach to Reducing Emissions and/or Concentrations</w:t>
      </w:r>
      <w:bookmarkEnd w:id="39"/>
      <w:bookmarkEnd w:id="40"/>
      <w:bookmarkEnd w:id="41"/>
    </w:p>
    <w:p w14:paraId="11B7655A" w14:textId="77777777" w:rsidR="002C7F93" w:rsidRPr="00616DB4" w:rsidRDefault="002C7F93" w:rsidP="002C7F93">
      <w:pPr>
        <w:pStyle w:val="Style1"/>
        <w:jc w:val="both"/>
      </w:pPr>
      <w:bookmarkStart w:id="42" w:name="_Hlk74816775"/>
      <w:bookmarkStart w:id="43" w:name="_Toc473641182"/>
      <w:bookmarkStart w:id="44" w:name="_Toc522629674"/>
      <w:bookmarkStart w:id="45" w:name="_Toc51079271"/>
      <w:r w:rsidRPr="00616DB4">
        <w:t xml:space="preserve">As detailed in Policy Guidance LAQM-PG16 (Chapter 7), local authorities are expected to work towards reducing emissions and/or concentrations of </w:t>
      </w:r>
      <w:r w:rsidRPr="00616DB4">
        <w:rPr>
          <w:noProof/>
        </w:rPr>
        <w:t>PM</w:t>
      </w:r>
      <w:r w:rsidRPr="00616DB4">
        <w:rPr>
          <w:noProof/>
          <w:vertAlign w:val="subscript"/>
        </w:rPr>
        <w:t xml:space="preserve">2.5 </w:t>
      </w:r>
      <w:r w:rsidRPr="00616DB4">
        <w:rPr>
          <w:noProof/>
        </w:rPr>
        <w:t xml:space="preserve">(particulate matter </w:t>
      </w:r>
      <w:r w:rsidRPr="00616DB4">
        <w:rPr>
          <w:rFonts w:cs="Arial"/>
        </w:rPr>
        <w:t>with an aerodynamic diameter of 2.5</w:t>
      </w:r>
      <w:r w:rsidRPr="00616DB4">
        <w:rPr>
          <w:rFonts w:cs="Arial"/>
          <w:noProof/>
        </w:rPr>
        <w:t>µm</w:t>
      </w:r>
      <w:r w:rsidRPr="00616DB4">
        <w:rPr>
          <w:rFonts w:cs="Arial"/>
        </w:rPr>
        <w:t xml:space="preserve"> or less</w:t>
      </w:r>
      <w:r w:rsidRPr="00616DB4">
        <w:rPr>
          <w:noProof/>
        </w:rPr>
        <w:t>)</w:t>
      </w:r>
      <w:r w:rsidRPr="00616DB4">
        <w:t xml:space="preserve">. </w:t>
      </w:r>
    </w:p>
    <w:p w14:paraId="43B7F45A" w14:textId="77777777" w:rsidR="002C7F93" w:rsidRPr="00616DB4" w:rsidRDefault="002C7F93" w:rsidP="002C7F93">
      <w:pPr>
        <w:pStyle w:val="Style1"/>
        <w:jc w:val="both"/>
      </w:pPr>
      <w:r w:rsidRPr="00616DB4">
        <w:t xml:space="preserve">There is now an extensive body of evidence that long-term exposure to everyday air pollutants over several years contributes to the development of cardiovascular disease (CVD), lung cancer, and respiratory disease. PM is inhaled into the lungs and ultrafine PM0.1 is thought to pass into the blood causing many adverse outcomes including systemic inflammation. Air pollution is strongly associated with all-cause mortality statistics. </w:t>
      </w:r>
    </w:p>
    <w:p w14:paraId="0326058E" w14:textId="77777777" w:rsidR="002C7F93" w:rsidRDefault="002C7F93" w:rsidP="002C7F93">
      <w:pPr>
        <w:pStyle w:val="Style1"/>
        <w:jc w:val="both"/>
      </w:pPr>
      <w:r w:rsidRPr="00616DB4">
        <w:t>In 201</w:t>
      </w:r>
      <w:r>
        <w:t>9</w:t>
      </w:r>
      <w:r w:rsidRPr="00616DB4">
        <w:t xml:space="preserve"> PHOF indicator D01, </w:t>
      </w:r>
      <w:r w:rsidRPr="00616DB4">
        <w:rPr>
          <w:i/>
        </w:rPr>
        <w:t xml:space="preserve">Fraction of mortality attributable to particulate air pollution, </w:t>
      </w:r>
      <w:r w:rsidRPr="00616DB4">
        <w:t>attributed 5.</w:t>
      </w:r>
      <w:r>
        <w:t>1</w:t>
      </w:r>
      <w:r w:rsidRPr="00616DB4">
        <w:t>% of mortality in England to particle air pollution, locally the figure was 3.</w:t>
      </w:r>
      <w:r>
        <w:t>6</w:t>
      </w:r>
      <w:r w:rsidRPr="00616DB4">
        <w:t>%.</w:t>
      </w:r>
      <w:r w:rsidRPr="00616DB4">
        <w:rPr>
          <w:rStyle w:val="FootnoteReference"/>
        </w:rPr>
        <w:footnoteReference w:id="8"/>
      </w:r>
    </w:p>
    <w:p w14:paraId="64AFB86E" w14:textId="77777777" w:rsidR="002C7F93" w:rsidRDefault="002C7F93" w:rsidP="002C7F93">
      <w:pPr>
        <w:pStyle w:val="Style1"/>
        <w:jc w:val="both"/>
      </w:pPr>
      <w:r>
        <w:t xml:space="preserve">More recently, the impact of the global COVID-19 pandemic has clearly had an effect on behaviour due to periods of lock-down and limited movement (reduced car/transport use), employment and job losses, and more reliance on more active or greener forms of transport due to changes in lifestyle and circumstances. </w:t>
      </w:r>
    </w:p>
    <w:p w14:paraId="4443355F" w14:textId="77777777" w:rsidR="002C7F93" w:rsidRDefault="002C7F93" w:rsidP="002C7F93">
      <w:pPr>
        <w:pStyle w:val="Style1"/>
        <w:jc w:val="both"/>
      </w:pPr>
      <w:r>
        <w:t xml:space="preserve">The longer-term impact of the pandemic on air quality and overall emissions will become more apparent in the near future and local approaches to improving air quality will adapt and develop in response to this. There will be a key role for local authorities, and industry as a whole, to consider how positive impacts can be maintained through more agile and flexible working and travel arrangements as part of our COVID recovery plans. </w:t>
      </w:r>
    </w:p>
    <w:p w14:paraId="61634D15" w14:textId="77777777" w:rsidR="002C7F93" w:rsidRPr="00616DB4" w:rsidRDefault="002C7F93" w:rsidP="002C7F93">
      <w:pPr>
        <w:pStyle w:val="Style1"/>
        <w:jc w:val="both"/>
        <w:rPr>
          <w:b/>
        </w:rPr>
      </w:pPr>
      <w:r w:rsidRPr="00616DB4">
        <w:rPr>
          <w:b/>
        </w:rPr>
        <w:t xml:space="preserve">Impacts on Health Outcomes </w:t>
      </w:r>
    </w:p>
    <w:p w14:paraId="39911B16" w14:textId="77777777" w:rsidR="002C7F93" w:rsidRPr="00616DB4" w:rsidRDefault="002C7F93" w:rsidP="002C7F93">
      <w:pPr>
        <w:pStyle w:val="Style1"/>
        <w:jc w:val="both"/>
      </w:pPr>
      <w:r w:rsidRPr="00616DB4">
        <w:t>The Office of National Statistics consistently reports that residents of South Tyneside have a significantly lower life expectancy than the England average.</w:t>
      </w:r>
    </w:p>
    <w:p w14:paraId="0EC8E985" w14:textId="77777777" w:rsidR="002C7F93" w:rsidRPr="009D459B" w:rsidRDefault="002C7F93" w:rsidP="002C7F93">
      <w:pPr>
        <w:pStyle w:val="Style1"/>
        <w:jc w:val="both"/>
        <w:rPr>
          <w:u w:val="single"/>
        </w:rPr>
      </w:pPr>
      <w:r w:rsidRPr="009D459B">
        <w:rPr>
          <w:u w:val="single"/>
        </w:rPr>
        <w:t>Life Expectancy – 2017-19</w:t>
      </w:r>
    </w:p>
    <w:tbl>
      <w:tblPr>
        <w:tblW w:w="0" w:type="auto"/>
        <w:tblLook w:val="04A0" w:firstRow="1" w:lastRow="0" w:firstColumn="1" w:lastColumn="0" w:noHBand="0" w:noVBand="1"/>
      </w:tblPr>
      <w:tblGrid>
        <w:gridCol w:w="3096"/>
        <w:gridCol w:w="3095"/>
        <w:gridCol w:w="3095"/>
      </w:tblGrid>
      <w:tr w:rsidR="002C7F93" w:rsidRPr="00231B25" w14:paraId="2126DAE0" w14:textId="77777777" w:rsidTr="009B37CB">
        <w:tc>
          <w:tcPr>
            <w:tcW w:w="3096" w:type="dxa"/>
            <w:shd w:val="clear" w:color="auto" w:fill="auto"/>
          </w:tcPr>
          <w:p w14:paraId="4CB35494" w14:textId="77777777" w:rsidR="002C7F93" w:rsidRPr="009D459B" w:rsidRDefault="002C7F93" w:rsidP="009B37CB">
            <w:pPr>
              <w:pStyle w:val="Style1"/>
              <w:jc w:val="both"/>
            </w:pPr>
          </w:p>
        </w:tc>
        <w:tc>
          <w:tcPr>
            <w:tcW w:w="3095" w:type="dxa"/>
            <w:shd w:val="clear" w:color="auto" w:fill="auto"/>
          </w:tcPr>
          <w:p w14:paraId="16C093A0" w14:textId="77777777" w:rsidR="002C7F93" w:rsidRPr="009D459B" w:rsidRDefault="002C7F93" w:rsidP="009B37CB">
            <w:pPr>
              <w:pStyle w:val="Style1"/>
              <w:jc w:val="both"/>
            </w:pPr>
            <w:r w:rsidRPr="009D459B">
              <w:t>Male</w:t>
            </w:r>
          </w:p>
        </w:tc>
        <w:tc>
          <w:tcPr>
            <w:tcW w:w="3095" w:type="dxa"/>
            <w:shd w:val="clear" w:color="auto" w:fill="auto"/>
          </w:tcPr>
          <w:p w14:paraId="74EC1D24" w14:textId="77777777" w:rsidR="002C7F93" w:rsidRPr="009D459B" w:rsidRDefault="002C7F93" w:rsidP="009B37CB">
            <w:pPr>
              <w:pStyle w:val="Style1"/>
              <w:jc w:val="both"/>
            </w:pPr>
            <w:r w:rsidRPr="009D459B">
              <w:t>Female</w:t>
            </w:r>
          </w:p>
        </w:tc>
      </w:tr>
      <w:tr w:rsidR="002C7F93" w:rsidRPr="00231B25" w14:paraId="5341EAE9" w14:textId="77777777" w:rsidTr="009B37CB">
        <w:tc>
          <w:tcPr>
            <w:tcW w:w="3096" w:type="dxa"/>
            <w:shd w:val="clear" w:color="auto" w:fill="auto"/>
          </w:tcPr>
          <w:p w14:paraId="6AA79352" w14:textId="77777777" w:rsidR="002C7F93" w:rsidRPr="009D459B" w:rsidRDefault="002C7F93" w:rsidP="009B37CB">
            <w:pPr>
              <w:pStyle w:val="Style1"/>
              <w:jc w:val="both"/>
            </w:pPr>
            <w:r w:rsidRPr="009D459B">
              <w:t xml:space="preserve">South Tyneside </w:t>
            </w:r>
          </w:p>
        </w:tc>
        <w:tc>
          <w:tcPr>
            <w:tcW w:w="3095" w:type="dxa"/>
            <w:shd w:val="clear" w:color="auto" w:fill="auto"/>
          </w:tcPr>
          <w:p w14:paraId="39CBA9B9" w14:textId="77777777" w:rsidR="002C7F93" w:rsidRPr="009D459B" w:rsidRDefault="002C7F93" w:rsidP="009B37CB">
            <w:pPr>
              <w:pStyle w:val="Style1"/>
              <w:jc w:val="both"/>
            </w:pPr>
            <w:r w:rsidRPr="009D459B">
              <w:t xml:space="preserve">77.0 years </w:t>
            </w:r>
          </w:p>
        </w:tc>
        <w:tc>
          <w:tcPr>
            <w:tcW w:w="3095" w:type="dxa"/>
            <w:shd w:val="clear" w:color="auto" w:fill="auto"/>
          </w:tcPr>
          <w:p w14:paraId="553AFE7D" w14:textId="77777777" w:rsidR="002C7F93" w:rsidRPr="009D459B" w:rsidRDefault="002C7F93" w:rsidP="009B37CB">
            <w:pPr>
              <w:pStyle w:val="Style1"/>
              <w:jc w:val="both"/>
            </w:pPr>
            <w:r w:rsidRPr="009D459B">
              <w:t>81.</w:t>
            </w:r>
            <w:r w:rsidRPr="006F23DA">
              <w:t>8</w:t>
            </w:r>
            <w:r w:rsidRPr="009D459B">
              <w:t xml:space="preserve"> years</w:t>
            </w:r>
          </w:p>
        </w:tc>
      </w:tr>
      <w:tr w:rsidR="002C7F93" w:rsidRPr="00616DB4" w14:paraId="099EE212" w14:textId="77777777" w:rsidTr="009B37CB">
        <w:tc>
          <w:tcPr>
            <w:tcW w:w="3096" w:type="dxa"/>
            <w:shd w:val="clear" w:color="auto" w:fill="auto"/>
          </w:tcPr>
          <w:p w14:paraId="22DDBCE5" w14:textId="77777777" w:rsidR="002C7F93" w:rsidRPr="009D459B" w:rsidRDefault="002C7F93" w:rsidP="009B37CB">
            <w:pPr>
              <w:pStyle w:val="Style1"/>
              <w:jc w:val="both"/>
            </w:pPr>
            <w:r w:rsidRPr="009D459B">
              <w:t xml:space="preserve">National Average </w:t>
            </w:r>
          </w:p>
        </w:tc>
        <w:tc>
          <w:tcPr>
            <w:tcW w:w="3095" w:type="dxa"/>
            <w:shd w:val="clear" w:color="auto" w:fill="auto"/>
          </w:tcPr>
          <w:p w14:paraId="2FA46546" w14:textId="77777777" w:rsidR="002C7F93" w:rsidRPr="009D459B" w:rsidRDefault="002C7F93" w:rsidP="009B37CB">
            <w:pPr>
              <w:pStyle w:val="Style1"/>
              <w:jc w:val="both"/>
            </w:pPr>
            <w:r w:rsidRPr="009D459B">
              <w:t>79.</w:t>
            </w:r>
            <w:r w:rsidRPr="006F23DA">
              <w:t>8</w:t>
            </w:r>
            <w:r w:rsidRPr="009D459B">
              <w:t xml:space="preserve"> years</w:t>
            </w:r>
          </w:p>
        </w:tc>
        <w:tc>
          <w:tcPr>
            <w:tcW w:w="3095" w:type="dxa"/>
            <w:shd w:val="clear" w:color="auto" w:fill="auto"/>
          </w:tcPr>
          <w:p w14:paraId="50CDFE3A" w14:textId="77777777" w:rsidR="002C7F93" w:rsidRPr="009D459B" w:rsidRDefault="002C7F93" w:rsidP="009B37CB">
            <w:pPr>
              <w:pStyle w:val="Style1"/>
              <w:jc w:val="both"/>
            </w:pPr>
            <w:r w:rsidRPr="009D459B">
              <w:t>83.</w:t>
            </w:r>
            <w:r w:rsidRPr="006F23DA">
              <w:t>4</w:t>
            </w:r>
            <w:r w:rsidRPr="009D459B">
              <w:t xml:space="preserve"> years</w:t>
            </w:r>
          </w:p>
        </w:tc>
      </w:tr>
    </w:tbl>
    <w:p w14:paraId="2F538EB4" w14:textId="77777777" w:rsidR="002C7F93" w:rsidRPr="00616DB4" w:rsidRDefault="002C7F93" w:rsidP="002C7F93">
      <w:pPr>
        <w:pStyle w:val="Style1"/>
        <w:jc w:val="both"/>
      </w:pPr>
      <w:r w:rsidRPr="00616DB4">
        <w:t xml:space="preserve">There is evidence to suggest that long term exposure to poor air quality increases the risk of premature mortality from cardiovascular and respiratory diseases.  The premature mortality rates for cardiovascular, respiratory diseases and cancer are given below.  It is important to note that other lifestyle factors such as smoking, etc. do influence these figures.  </w:t>
      </w:r>
    </w:p>
    <w:p w14:paraId="339651C7" w14:textId="77777777" w:rsidR="002C7F93" w:rsidRPr="009D459B" w:rsidRDefault="002C7F93" w:rsidP="002C7F93">
      <w:pPr>
        <w:pStyle w:val="Style1"/>
        <w:numPr>
          <w:ilvl w:val="0"/>
          <w:numId w:val="34"/>
        </w:numPr>
        <w:jc w:val="both"/>
      </w:pPr>
      <w:r w:rsidRPr="009D459B">
        <w:t xml:space="preserve">Premature (under 75 years) mortality rates from all cardiovascular disease of </w:t>
      </w:r>
      <w:r w:rsidRPr="006F23DA">
        <w:t>90</w:t>
      </w:r>
      <w:r w:rsidRPr="009D459B">
        <w:t>.</w:t>
      </w:r>
      <w:r w:rsidRPr="006F23DA">
        <w:t>3</w:t>
      </w:r>
      <w:r w:rsidRPr="009D459B">
        <w:t xml:space="preserve"> per 100,000 as compared to 7</w:t>
      </w:r>
      <w:r w:rsidRPr="006F23DA">
        <w:t>0</w:t>
      </w:r>
      <w:r w:rsidRPr="009D459B">
        <w:t>.</w:t>
      </w:r>
      <w:r w:rsidRPr="006F23DA">
        <w:t>4</w:t>
      </w:r>
      <w:r w:rsidRPr="009D459B">
        <w:t xml:space="preserve"> per 100,000 for England; of this </w:t>
      </w:r>
      <w:r w:rsidRPr="006F23DA">
        <w:t>36</w:t>
      </w:r>
      <w:r w:rsidRPr="009D459B">
        <w:t>.</w:t>
      </w:r>
      <w:r w:rsidRPr="006F23DA">
        <w:t>7</w:t>
      </w:r>
      <w:r w:rsidRPr="009D459B">
        <w:t xml:space="preserve"> per 100,000 were considered preventable.</w:t>
      </w:r>
    </w:p>
    <w:p w14:paraId="28CC1696" w14:textId="77777777" w:rsidR="002C7F93" w:rsidRPr="009D459B" w:rsidRDefault="002C7F93" w:rsidP="002C7F93">
      <w:pPr>
        <w:pStyle w:val="Style1"/>
        <w:numPr>
          <w:ilvl w:val="0"/>
          <w:numId w:val="34"/>
        </w:numPr>
        <w:jc w:val="both"/>
      </w:pPr>
      <w:r w:rsidRPr="009D459B">
        <w:t xml:space="preserve">Premature (under 75 years) mortality rates from respiratory disease of </w:t>
      </w:r>
      <w:r w:rsidRPr="006F23DA">
        <w:t>54</w:t>
      </w:r>
      <w:r w:rsidRPr="009D459B">
        <w:t>.</w:t>
      </w:r>
      <w:r w:rsidRPr="006F23DA">
        <w:t>3</w:t>
      </w:r>
      <w:r w:rsidRPr="009D459B">
        <w:t xml:space="preserve"> per 100,000 as compared to 34.</w:t>
      </w:r>
      <w:r w:rsidRPr="006F23DA">
        <w:t>2</w:t>
      </w:r>
      <w:r w:rsidRPr="009D459B">
        <w:t xml:space="preserve"> per 100,000 for England; of this 3</w:t>
      </w:r>
      <w:r w:rsidRPr="006F23DA">
        <w:t>8</w:t>
      </w:r>
      <w:r w:rsidRPr="009D459B">
        <w:t>.</w:t>
      </w:r>
      <w:r w:rsidRPr="006F23DA">
        <w:t>9</w:t>
      </w:r>
      <w:r w:rsidRPr="009D459B">
        <w:t xml:space="preserve"> per 100,000 were preventable.</w:t>
      </w:r>
    </w:p>
    <w:p w14:paraId="388B436C" w14:textId="77777777" w:rsidR="002C7F93" w:rsidRPr="009D459B" w:rsidRDefault="002C7F93" w:rsidP="002C7F93">
      <w:pPr>
        <w:pStyle w:val="Style1"/>
        <w:numPr>
          <w:ilvl w:val="0"/>
          <w:numId w:val="34"/>
        </w:numPr>
        <w:jc w:val="both"/>
      </w:pPr>
      <w:r w:rsidRPr="009D459B">
        <w:t>Premature (under 75 years) mortality rates from cancer of 1</w:t>
      </w:r>
      <w:r w:rsidRPr="006F23DA">
        <w:t>55</w:t>
      </w:r>
      <w:r w:rsidRPr="009D459B">
        <w:t>.</w:t>
      </w:r>
      <w:r w:rsidRPr="006F23DA">
        <w:t>5</w:t>
      </w:r>
      <w:r w:rsidRPr="009D459B">
        <w:t xml:space="preserve"> per 100,000 as compared to 12</w:t>
      </w:r>
      <w:r w:rsidRPr="006F23DA">
        <w:t>9</w:t>
      </w:r>
      <w:r w:rsidRPr="009D459B">
        <w:t>.</w:t>
      </w:r>
      <w:r w:rsidRPr="006F23DA">
        <w:t>2</w:t>
      </w:r>
      <w:r w:rsidRPr="009D459B">
        <w:t xml:space="preserve"> per 100,000 for England; of this </w:t>
      </w:r>
      <w:r w:rsidRPr="006F23DA">
        <w:t>76</w:t>
      </w:r>
      <w:r w:rsidRPr="009D459B">
        <w:t>.</w:t>
      </w:r>
      <w:r w:rsidRPr="006F23DA">
        <w:t>0</w:t>
      </w:r>
      <w:r w:rsidRPr="009D459B">
        <w:t xml:space="preserve"> per 100,000 were preventable.</w:t>
      </w:r>
    </w:p>
    <w:p w14:paraId="51A65249" w14:textId="77777777" w:rsidR="002C7F93" w:rsidRPr="00616DB4" w:rsidRDefault="002C7F93" w:rsidP="002C7F93">
      <w:pPr>
        <w:pStyle w:val="Style1"/>
        <w:jc w:val="both"/>
      </w:pPr>
      <w:r w:rsidRPr="00616DB4">
        <w:t xml:space="preserve">The mortality rates for respiratory disease can be broken down further into South Tyneside Ward areas as shown in the table below, benchmarked against England and South Tyneside as a whole.   </w:t>
      </w:r>
    </w:p>
    <w:p w14:paraId="74AFA25E" w14:textId="77777777" w:rsidR="002C7F93" w:rsidRPr="00616DB4" w:rsidRDefault="002C7F93" w:rsidP="002C7F93">
      <w:pPr>
        <w:pStyle w:val="Style1"/>
        <w:ind w:left="360"/>
        <w:jc w:val="both"/>
        <w:rPr>
          <w:noProof/>
          <w:lang w:eastAsia="en-GB"/>
        </w:rPr>
      </w:pPr>
      <w:r w:rsidRPr="009D459B">
        <w:rPr>
          <w:b/>
          <w:sz w:val="20"/>
          <w:szCs w:val="20"/>
          <w:u w:val="single"/>
        </w:rPr>
        <w:t>Chart 2.3. Deaths from respiratory diseases, all ages, standardised mortality ratio, by Ward 201</w:t>
      </w:r>
      <w:r>
        <w:rPr>
          <w:b/>
          <w:sz w:val="20"/>
          <w:szCs w:val="20"/>
          <w:u w:val="single"/>
        </w:rPr>
        <w:t>5</w:t>
      </w:r>
      <w:r w:rsidRPr="009D459B">
        <w:rPr>
          <w:b/>
          <w:sz w:val="20"/>
          <w:szCs w:val="20"/>
          <w:u w:val="single"/>
        </w:rPr>
        <w:t>-201</w:t>
      </w:r>
      <w:r>
        <w:rPr>
          <w:b/>
          <w:sz w:val="20"/>
          <w:szCs w:val="20"/>
          <w:u w:val="single"/>
        </w:rPr>
        <w:t>9</w:t>
      </w:r>
      <w:r w:rsidRPr="009D459B">
        <w:rPr>
          <w:b/>
          <w:sz w:val="20"/>
          <w:szCs w:val="20"/>
          <w:u w:val="single"/>
        </w:rPr>
        <w:t>:</w:t>
      </w:r>
    </w:p>
    <w:p w14:paraId="10F4E6EA" w14:textId="77777777" w:rsidR="002C7F93" w:rsidRPr="00616DB4" w:rsidRDefault="002C7F93" w:rsidP="002C7F93">
      <w:pPr>
        <w:pStyle w:val="Style1"/>
        <w:ind w:left="360"/>
        <w:jc w:val="center"/>
      </w:pPr>
      <w:r>
        <w:rPr>
          <w:noProof/>
        </w:rPr>
        <w:drawing>
          <wp:inline distT="0" distB="0" distL="0" distR="0" wp14:anchorId="751BFE21" wp14:editId="4DF12B87">
            <wp:extent cx="4578350" cy="27559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1E4B4EBD" w14:textId="77777777" w:rsidR="002C7F93" w:rsidRPr="00616DB4" w:rsidRDefault="002C7F93" w:rsidP="002C7F93">
      <w:pPr>
        <w:pStyle w:val="Style1"/>
        <w:jc w:val="both"/>
      </w:pPr>
      <w:r w:rsidRPr="00616DB4">
        <w:t>To note two of these wards (Biddick &amp; All Saints, Bede) include air quality management areas.</w:t>
      </w:r>
    </w:p>
    <w:p w14:paraId="4A18772F" w14:textId="77777777" w:rsidR="002C7F93" w:rsidRPr="00616DB4" w:rsidRDefault="002C7F93" w:rsidP="002C7F93">
      <w:pPr>
        <w:pStyle w:val="Style1"/>
        <w:jc w:val="both"/>
      </w:pPr>
      <w:r w:rsidRPr="00616DB4">
        <w:t>Additional data shows:</w:t>
      </w:r>
    </w:p>
    <w:p w14:paraId="27A12DB4" w14:textId="77777777" w:rsidR="002C7F93" w:rsidRPr="009D459B" w:rsidRDefault="002C7F93" w:rsidP="002C7F93">
      <w:pPr>
        <w:pStyle w:val="Style1"/>
        <w:numPr>
          <w:ilvl w:val="0"/>
          <w:numId w:val="35"/>
        </w:numPr>
        <w:jc w:val="both"/>
      </w:pPr>
      <w:r w:rsidRPr="009D459B">
        <w:t>Emergency admissions for chronic obstructive pulmonary disease is significantly worse in South Tyneside at 7</w:t>
      </w:r>
      <w:r w:rsidRPr="006F23DA">
        <w:t>40</w:t>
      </w:r>
      <w:r w:rsidRPr="009D459B">
        <w:t xml:space="preserve"> per 100,000 population in comparison to England at 41</w:t>
      </w:r>
      <w:r w:rsidRPr="006F23DA">
        <w:t>5</w:t>
      </w:r>
      <w:r w:rsidRPr="009D459B">
        <w:t xml:space="preserve"> per 100,000</w:t>
      </w:r>
      <w:r w:rsidRPr="009D459B">
        <w:rPr>
          <w:rStyle w:val="FootnoteReference"/>
        </w:rPr>
        <w:footnoteReference w:id="9"/>
      </w:r>
      <w:r w:rsidRPr="009D459B">
        <w:t>.</w:t>
      </w:r>
    </w:p>
    <w:p w14:paraId="6D630DE2" w14:textId="77777777" w:rsidR="002C7F93" w:rsidRPr="009D459B" w:rsidRDefault="002C7F93" w:rsidP="002C7F93">
      <w:pPr>
        <w:pStyle w:val="Style1"/>
        <w:numPr>
          <w:ilvl w:val="0"/>
          <w:numId w:val="35"/>
        </w:numPr>
        <w:jc w:val="both"/>
      </w:pPr>
      <w:r w:rsidRPr="009D459B">
        <w:t xml:space="preserve">Hospital admissions for asthma in children (birth to 9 years) are </w:t>
      </w:r>
      <w:r w:rsidRPr="006F23DA">
        <w:t>205</w:t>
      </w:r>
      <w:r w:rsidRPr="009D459B">
        <w:t>.</w:t>
      </w:r>
      <w:r w:rsidRPr="006F23DA">
        <w:t>1</w:t>
      </w:r>
      <w:r w:rsidRPr="009D459B">
        <w:t xml:space="preserve"> per 100,000 as opposed to the England rate of </w:t>
      </w:r>
      <w:r w:rsidRPr="006F23DA">
        <w:t>160</w:t>
      </w:r>
      <w:r w:rsidRPr="009D459B">
        <w:t>.</w:t>
      </w:r>
      <w:r w:rsidRPr="006F23DA">
        <w:t>7</w:t>
      </w:r>
      <w:r w:rsidRPr="009D459B">
        <w:t xml:space="preserve"> per 100,000.</w:t>
      </w:r>
      <w:r w:rsidRPr="009D459B">
        <w:rPr>
          <w:rStyle w:val="FootnoteReference"/>
        </w:rPr>
        <w:footnoteReference w:id="10"/>
      </w:r>
      <w:r w:rsidRPr="009D459B">
        <w:t xml:space="preserve">  </w:t>
      </w:r>
    </w:p>
    <w:p w14:paraId="0C18797C" w14:textId="77777777" w:rsidR="002C7F93" w:rsidRPr="009D459B" w:rsidRDefault="002C7F93" w:rsidP="002C7F93">
      <w:pPr>
        <w:pStyle w:val="Style1"/>
        <w:numPr>
          <w:ilvl w:val="0"/>
          <w:numId w:val="35"/>
        </w:numPr>
        <w:jc w:val="both"/>
      </w:pPr>
      <w:r w:rsidRPr="009D459B">
        <w:t>The hospital admission rates for young people aged 10 -18 is 2</w:t>
      </w:r>
      <w:r w:rsidRPr="006F23DA">
        <w:t>38</w:t>
      </w:r>
      <w:r w:rsidRPr="009D459B">
        <w:t>.</w:t>
      </w:r>
      <w:r w:rsidRPr="006F23DA">
        <w:t>7</w:t>
      </w:r>
      <w:r w:rsidRPr="009D459B">
        <w:t xml:space="preserve"> per 100,000, significantly higher than the England rate of 12</w:t>
      </w:r>
      <w:r w:rsidRPr="006F23DA">
        <w:t>3</w:t>
      </w:r>
      <w:r w:rsidRPr="009D459B">
        <w:t>.</w:t>
      </w:r>
      <w:r w:rsidRPr="006F23DA">
        <w:t>4</w:t>
      </w:r>
      <w:r w:rsidRPr="009D459B">
        <w:t>.  This has seen a continual increase from 2010.  We should note however the numbers associated with this rate are fairly low at 30.</w:t>
      </w:r>
      <w:r w:rsidRPr="009D459B">
        <w:rPr>
          <w:rStyle w:val="FootnoteReference"/>
        </w:rPr>
        <w:footnoteReference w:id="11"/>
      </w:r>
      <w:r w:rsidRPr="009D459B">
        <w:t xml:space="preserve"> </w:t>
      </w:r>
    </w:p>
    <w:p w14:paraId="21F9508E" w14:textId="77777777" w:rsidR="002C7F93" w:rsidRPr="00616DB4" w:rsidRDefault="002C7F93" w:rsidP="002C7F93">
      <w:pPr>
        <w:pStyle w:val="Style1"/>
        <w:jc w:val="both"/>
      </w:pPr>
      <w:r w:rsidRPr="00616DB4">
        <w:t>It is worth noting that variations that are statistically significant do not in themselves establish a causal relationship and that a wide range of factors affect mortality rates and associated hospital admissions, including rates of smoking, general health, deprivation and historic industrial exposures.</w:t>
      </w:r>
    </w:p>
    <w:p w14:paraId="74942E80" w14:textId="77777777" w:rsidR="002C7F93" w:rsidRPr="00616DB4" w:rsidRDefault="002C7F93" w:rsidP="002C7F93">
      <w:pPr>
        <w:pStyle w:val="Style1"/>
        <w:jc w:val="both"/>
      </w:pPr>
      <w:r w:rsidRPr="00616DB4">
        <w:t xml:space="preserve">Nonetheless, diseases that can be worsened by poor air quality emphasises the importance of continued monitoring of air quality to reduce the impact of air pollution on the health of our residents. </w:t>
      </w:r>
    </w:p>
    <w:p w14:paraId="73C8D94F" w14:textId="77777777" w:rsidR="002C7F93" w:rsidRDefault="002C7F93" w:rsidP="002C7F93">
      <w:pPr>
        <w:pStyle w:val="Style1"/>
        <w:rPr>
          <w:noProof/>
          <w:vertAlign w:val="subscript"/>
        </w:rPr>
      </w:pPr>
      <w:r w:rsidRPr="00616DB4">
        <w:t>South Tyneside Council is undertaking the measures detailed in the executive summary and detailed in table 2.2.  These measures will have a positive effect in reducing NO</w:t>
      </w:r>
      <w:r w:rsidRPr="00616DB4">
        <w:rPr>
          <w:noProof/>
          <w:vertAlign w:val="subscript"/>
        </w:rPr>
        <w:t>2</w:t>
      </w:r>
      <w:r w:rsidRPr="00616DB4">
        <w:t xml:space="preserve"> and PM</w:t>
      </w:r>
      <w:r w:rsidRPr="00616DB4">
        <w:rPr>
          <w:noProof/>
          <w:vertAlign w:val="subscript"/>
        </w:rPr>
        <w:t xml:space="preserve">10 </w:t>
      </w:r>
      <w:r w:rsidRPr="00616DB4">
        <w:t>and would have similar effect upon levels of PM</w:t>
      </w:r>
      <w:r w:rsidRPr="00616DB4">
        <w:rPr>
          <w:noProof/>
          <w:vertAlign w:val="subscript"/>
        </w:rPr>
        <w:t xml:space="preserve">2.5. </w:t>
      </w:r>
    </w:p>
    <w:p w14:paraId="7B45B2CB" w14:textId="77777777" w:rsidR="002C7F93" w:rsidRPr="0060458C" w:rsidRDefault="002C7F93" w:rsidP="002C7F93">
      <w:pPr>
        <w:pStyle w:val="Style1"/>
        <w:rPr>
          <w:noProof/>
        </w:rPr>
      </w:pPr>
      <w:r w:rsidRPr="0060458C">
        <w:rPr>
          <w:noProof/>
        </w:rPr>
        <w:t>From a</w:t>
      </w:r>
      <w:r>
        <w:rPr>
          <w:noProof/>
        </w:rPr>
        <w:t xml:space="preserve">n </w:t>
      </w:r>
      <w:r w:rsidRPr="0060458C">
        <w:rPr>
          <w:noProof/>
        </w:rPr>
        <w:t>operational point of view</w:t>
      </w:r>
      <w:r>
        <w:rPr>
          <w:noProof/>
        </w:rPr>
        <w:t xml:space="preserve">, South Tyneside Council Public Health </w:t>
      </w:r>
      <w:r w:rsidRPr="0060458C">
        <w:rPr>
          <w:noProof/>
        </w:rPr>
        <w:t xml:space="preserve">are supporting </w:t>
      </w:r>
      <w:r>
        <w:rPr>
          <w:noProof/>
        </w:rPr>
        <w:t>South Tyneside and Sunderland NHS Foundation</w:t>
      </w:r>
      <w:r w:rsidRPr="0060458C">
        <w:rPr>
          <w:noProof/>
        </w:rPr>
        <w:t xml:space="preserve"> Trust with their work around active travel </w:t>
      </w:r>
      <w:r>
        <w:rPr>
          <w:noProof/>
        </w:rPr>
        <w:t xml:space="preserve">and healthy environments as part of their Employee Wellbeing Strategy, </w:t>
      </w:r>
      <w:r w:rsidRPr="0060458C">
        <w:rPr>
          <w:noProof/>
        </w:rPr>
        <w:t xml:space="preserve">and wider businesses via the </w:t>
      </w:r>
      <w:r>
        <w:rPr>
          <w:noProof/>
        </w:rPr>
        <w:t xml:space="preserve">North East </w:t>
      </w:r>
      <w:r w:rsidRPr="0060458C">
        <w:rPr>
          <w:noProof/>
        </w:rPr>
        <w:t>Better Health at Work Award</w:t>
      </w:r>
      <w:r>
        <w:rPr>
          <w:noProof/>
        </w:rPr>
        <w:t>.</w:t>
      </w:r>
      <w:r w:rsidRPr="0060458C">
        <w:rPr>
          <w:noProof/>
        </w:rPr>
        <w:t xml:space="preserve"> </w:t>
      </w:r>
      <w:r>
        <w:rPr>
          <w:noProof/>
        </w:rPr>
        <w:t>Public Health</w:t>
      </w:r>
      <w:r w:rsidRPr="0060458C">
        <w:rPr>
          <w:noProof/>
        </w:rPr>
        <w:t xml:space="preserve"> are also in the process of appointing a new practitioner to lead on healthy weight and physical activity</w:t>
      </w:r>
      <w:r>
        <w:rPr>
          <w:noProof/>
        </w:rPr>
        <w:t>,</w:t>
      </w:r>
      <w:r w:rsidRPr="0060458C">
        <w:rPr>
          <w:noProof/>
        </w:rPr>
        <w:t xml:space="preserve"> who will be supporting some of this wider work including re-energising </w:t>
      </w:r>
      <w:r>
        <w:rPr>
          <w:noProof/>
        </w:rPr>
        <w:t xml:space="preserve">the </w:t>
      </w:r>
      <w:r w:rsidRPr="0060458C">
        <w:rPr>
          <w:noProof/>
        </w:rPr>
        <w:t xml:space="preserve">local </w:t>
      </w:r>
      <w:r>
        <w:rPr>
          <w:noProof/>
        </w:rPr>
        <w:t>P</w:t>
      </w:r>
      <w:r w:rsidRPr="0060458C">
        <w:rPr>
          <w:noProof/>
        </w:rPr>
        <w:t xml:space="preserve">hysical </w:t>
      </w:r>
      <w:r>
        <w:rPr>
          <w:noProof/>
        </w:rPr>
        <w:t>A</w:t>
      </w:r>
      <w:r w:rsidRPr="0060458C">
        <w:rPr>
          <w:noProof/>
        </w:rPr>
        <w:t xml:space="preserve">ctivity </w:t>
      </w:r>
      <w:r>
        <w:rPr>
          <w:noProof/>
        </w:rPr>
        <w:t>S</w:t>
      </w:r>
      <w:r w:rsidRPr="0060458C">
        <w:rPr>
          <w:noProof/>
        </w:rPr>
        <w:t>trategy,</w:t>
      </w:r>
      <w:r>
        <w:rPr>
          <w:noProof/>
        </w:rPr>
        <w:t xml:space="preserve"> local work linked to </w:t>
      </w:r>
      <w:r w:rsidRPr="0060458C">
        <w:rPr>
          <w:noProof/>
        </w:rPr>
        <w:t xml:space="preserve">the national </w:t>
      </w:r>
      <w:r>
        <w:rPr>
          <w:noProof/>
        </w:rPr>
        <w:t>O</w:t>
      </w:r>
      <w:r w:rsidRPr="0060458C">
        <w:rPr>
          <w:noProof/>
        </w:rPr>
        <w:t xml:space="preserve">besity </w:t>
      </w:r>
      <w:r>
        <w:rPr>
          <w:noProof/>
        </w:rPr>
        <w:t>S</w:t>
      </w:r>
      <w:r w:rsidRPr="0060458C">
        <w:rPr>
          <w:noProof/>
        </w:rPr>
        <w:t>trategy</w:t>
      </w:r>
      <w:r>
        <w:rPr>
          <w:noProof/>
        </w:rPr>
        <w:t>,</w:t>
      </w:r>
      <w:r w:rsidRPr="0060458C">
        <w:rPr>
          <w:noProof/>
        </w:rPr>
        <w:t xml:space="preserve"> and </w:t>
      </w:r>
      <w:r>
        <w:rPr>
          <w:noProof/>
        </w:rPr>
        <w:t>our</w:t>
      </w:r>
      <w:r w:rsidRPr="0060458C">
        <w:rPr>
          <w:noProof/>
        </w:rPr>
        <w:t xml:space="preserve"> S</w:t>
      </w:r>
      <w:r>
        <w:rPr>
          <w:noProof/>
        </w:rPr>
        <w:t xml:space="preserve">outh </w:t>
      </w:r>
      <w:r w:rsidRPr="0060458C">
        <w:rPr>
          <w:noProof/>
        </w:rPr>
        <w:t>T</w:t>
      </w:r>
      <w:r>
        <w:rPr>
          <w:noProof/>
        </w:rPr>
        <w:t>yneside</w:t>
      </w:r>
      <w:r w:rsidRPr="0060458C">
        <w:rPr>
          <w:noProof/>
        </w:rPr>
        <w:t xml:space="preserve"> </w:t>
      </w:r>
      <w:r>
        <w:rPr>
          <w:noProof/>
        </w:rPr>
        <w:t>C</w:t>
      </w:r>
      <w:r w:rsidRPr="0060458C">
        <w:rPr>
          <w:noProof/>
        </w:rPr>
        <w:t xml:space="preserve">ycling and </w:t>
      </w:r>
      <w:r>
        <w:rPr>
          <w:noProof/>
        </w:rPr>
        <w:t>W</w:t>
      </w:r>
      <w:r w:rsidRPr="0060458C">
        <w:rPr>
          <w:noProof/>
        </w:rPr>
        <w:t xml:space="preserve">alking </w:t>
      </w:r>
      <w:r>
        <w:rPr>
          <w:noProof/>
        </w:rPr>
        <w:t>I</w:t>
      </w:r>
      <w:r w:rsidRPr="0060458C">
        <w:rPr>
          <w:noProof/>
        </w:rPr>
        <w:t xml:space="preserve">nvestment </w:t>
      </w:r>
      <w:r>
        <w:rPr>
          <w:noProof/>
        </w:rPr>
        <w:t>P</w:t>
      </w:r>
      <w:r w:rsidRPr="0060458C">
        <w:rPr>
          <w:noProof/>
        </w:rPr>
        <w:t>lan</w:t>
      </w:r>
      <w:r>
        <w:rPr>
          <w:noProof/>
        </w:rPr>
        <w:t>, all of which will support outcomes around improving air quality through increased physical activity and green exercise, and less reliance on motorised transport.</w:t>
      </w:r>
    </w:p>
    <w:p w14:paraId="3BE902C4" w14:textId="4A35CC49" w:rsidR="002C7F93" w:rsidRDefault="002C7F93" w:rsidP="002C7F93">
      <w:pPr>
        <w:pStyle w:val="Style1"/>
      </w:pPr>
      <w:r w:rsidRPr="00616DB4">
        <w:t xml:space="preserve">As detailed in Policy Guidance LAQM.PG16 (Chapter 7), local authorities are expected to work towards reducing emissions and/or concentrations of </w:t>
      </w:r>
      <w:r w:rsidRPr="00616DB4">
        <w:rPr>
          <w:noProof/>
        </w:rPr>
        <w:t>PM</w:t>
      </w:r>
      <w:r w:rsidRPr="00616DB4">
        <w:rPr>
          <w:noProof/>
          <w:vertAlign w:val="subscript"/>
        </w:rPr>
        <w:t xml:space="preserve">2.5 </w:t>
      </w:r>
      <w:r w:rsidRPr="00616DB4">
        <w:rPr>
          <w:noProof/>
        </w:rPr>
        <w:t xml:space="preserve">(particulate matter </w:t>
      </w:r>
      <w:r w:rsidRPr="00616DB4">
        <w:rPr>
          <w:rFonts w:cs="Arial"/>
        </w:rPr>
        <w:t>with an aerodynamic diameter of 2.5</w:t>
      </w:r>
      <w:r w:rsidRPr="00616DB4">
        <w:rPr>
          <w:rFonts w:cs="Arial"/>
          <w:noProof/>
        </w:rPr>
        <w:t>µm</w:t>
      </w:r>
      <w:r w:rsidRPr="00616DB4">
        <w:rPr>
          <w:rFonts w:cs="Arial"/>
        </w:rPr>
        <w:t xml:space="preserve"> or less</w:t>
      </w:r>
      <w:r w:rsidRPr="00616DB4">
        <w:rPr>
          <w:noProof/>
        </w:rPr>
        <w:t>)</w:t>
      </w:r>
      <w:r w:rsidRPr="00616DB4">
        <w:t>. There is clear evidence that PM</w:t>
      </w:r>
      <w:r w:rsidRPr="00616DB4">
        <w:rPr>
          <w:vertAlign w:val="subscript"/>
        </w:rPr>
        <w:t>2.5</w:t>
      </w:r>
      <w:r w:rsidRPr="00616DB4">
        <w:t xml:space="preserve"> has a significant impact on human health, including premature mortality, allergic reactions, and cardiovascular diseases.</w:t>
      </w:r>
    </w:p>
    <w:p w14:paraId="0CEAE4DD" w14:textId="12DD5055" w:rsidR="00954142" w:rsidRDefault="00954142" w:rsidP="00102FC8">
      <w:pPr>
        <w:pStyle w:val="Caption"/>
      </w:pPr>
      <w:r>
        <w:t>THE AIR QUALITY (DOMESTIC SOLID FUELS STANDARDS) (ENGLAND) REGULATIONS 2020</w:t>
      </w:r>
    </w:p>
    <w:bookmarkEnd w:id="42"/>
    <w:p w14:paraId="57571E73" w14:textId="77777777" w:rsidR="00102FC8" w:rsidRPr="00102FC8" w:rsidRDefault="00102FC8" w:rsidP="00102FC8">
      <w:pPr>
        <w:shd w:val="clear" w:color="auto" w:fill="FFFFFF"/>
        <w:jc w:val="both"/>
        <w:rPr>
          <w:rFonts w:eastAsia="Times New Roman" w:cstheme="minorHAnsi"/>
          <w:color w:val="0B0C0C"/>
          <w:szCs w:val="24"/>
          <w:lang w:eastAsia="en-GB"/>
        </w:rPr>
      </w:pPr>
      <w:r w:rsidRPr="00102FC8">
        <w:rPr>
          <w:rFonts w:eastAsia="Times New Roman" w:cstheme="minorHAnsi"/>
          <w:color w:val="0B0C0C"/>
          <w:szCs w:val="24"/>
          <w:lang w:eastAsia="en-GB"/>
        </w:rPr>
        <w:t>A major source of PM2.5 particles is from b</w:t>
      </w:r>
      <w:r w:rsidRPr="001F1D83">
        <w:rPr>
          <w:rFonts w:asciiTheme="minorHAnsi" w:eastAsia="Times New Roman" w:hAnsiTheme="minorHAnsi" w:cstheme="minorHAnsi"/>
          <w:color w:val="0B0C0C"/>
          <w:szCs w:val="24"/>
          <w:lang w:eastAsia="en-GB"/>
        </w:rPr>
        <w:t>urning at home, particularly with traditional house coal or wet wood</w:t>
      </w:r>
      <w:r w:rsidRPr="00102FC8">
        <w:rPr>
          <w:rFonts w:eastAsia="Times New Roman" w:cstheme="minorHAnsi"/>
          <w:color w:val="0B0C0C"/>
          <w:szCs w:val="24"/>
          <w:lang w:eastAsia="en-GB"/>
        </w:rPr>
        <w:t>.</w:t>
      </w:r>
    </w:p>
    <w:p w14:paraId="44380415" w14:textId="77777777" w:rsidR="00102FC8" w:rsidRPr="001F1D83" w:rsidRDefault="00102FC8" w:rsidP="00102FC8">
      <w:pPr>
        <w:shd w:val="clear" w:color="auto" w:fill="FFFFFF"/>
        <w:jc w:val="both"/>
        <w:rPr>
          <w:rFonts w:asciiTheme="minorHAnsi" w:eastAsia="Times New Roman" w:hAnsiTheme="minorHAnsi" w:cstheme="minorHAnsi"/>
          <w:color w:val="0B0C0C"/>
          <w:szCs w:val="24"/>
          <w:lang w:eastAsia="en-GB"/>
        </w:rPr>
      </w:pPr>
      <w:r w:rsidRPr="001F1D83">
        <w:rPr>
          <w:rFonts w:asciiTheme="minorHAnsi" w:eastAsia="Times New Roman" w:hAnsiTheme="minorHAnsi" w:cstheme="minorHAnsi"/>
          <w:color w:val="0B0C0C"/>
          <w:szCs w:val="24"/>
          <w:lang w:eastAsia="en-GB"/>
        </w:rPr>
        <w:t>Restrictions on the sale of coal, wet wood and manufactured solid fuels for burning in the home</w:t>
      </w:r>
      <w:r w:rsidRPr="00102FC8">
        <w:rPr>
          <w:rFonts w:eastAsia="Times New Roman" w:cstheme="minorHAnsi"/>
          <w:color w:val="0B0C0C"/>
          <w:szCs w:val="24"/>
          <w:lang w:eastAsia="en-GB"/>
        </w:rPr>
        <w:t xml:space="preserve"> came into force on the 1</w:t>
      </w:r>
      <w:r w:rsidRPr="00102FC8">
        <w:rPr>
          <w:rFonts w:eastAsia="Times New Roman" w:cstheme="minorHAnsi"/>
          <w:color w:val="0B0C0C"/>
          <w:szCs w:val="24"/>
          <w:vertAlign w:val="superscript"/>
          <w:lang w:eastAsia="en-GB"/>
        </w:rPr>
        <w:t>st</w:t>
      </w:r>
      <w:r w:rsidRPr="00102FC8">
        <w:rPr>
          <w:rFonts w:eastAsia="Times New Roman" w:cstheme="minorHAnsi"/>
          <w:color w:val="0B0C0C"/>
          <w:szCs w:val="24"/>
          <w:lang w:eastAsia="en-GB"/>
        </w:rPr>
        <w:t xml:space="preserve"> May, 2021</w:t>
      </w:r>
    </w:p>
    <w:p w14:paraId="34017F75" w14:textId="77777777" w:rsidR="00102FC8" w:rsidRPr="001F1D83" w:rsidRDefault="00102FC8" w:rsidP="00102FC8">
      <w:pPr>
        <w:shd w:val="clear" w:color="auto" w:fill="FFFFFF"/>
        <w:jc w:val="both"/>
        <w:rPr>
          <w:rFonts w:asciiTheme="minorHAnsi" w:eastAsia="Times New Roman" w:hAnsiTheme="minorHAnsi" w:cstheme="minorHAnsi"/>
          <w:color w:val="0B0C0C"/>
          <w:szCs w:val="24"/>
          <w:lang w:eastAsia="en-GB"/>
        </w:rPr>
      </w:pPr>
      <w:r w:rsidRPr="001F1D83">
        <w:rPr>
          <w:rFonts w:asciiTheme="minorHAnsi" w:eastAsia="Times New Roman" w:hAnsiTheme="minorHAnsi" w:cstheme="minorHAnsi"/>
          <w:color w:val="0B0C0C"/>
          <w:szCs w:val="24"/>
          <w:lang w:eastAsia="en-GB"/>
        </w:rPr>
        <w:t>People with log burners and open fires can still use them, but will be required to buy cleaner alternative fuels – if they are not already – such as dry wood and manufactured solid fuels which produce less smoke. Both of these cleaner options are just as easy to source and more efficient to burn, making them more cost effective. Burning dry wood also produces more heat and less soot than wet wood and can reduce emissions by up to 50%.</w:t>
      </w:r>
    </w:p>
    <w:p w14:paraId="38837F93" w14:textId="77777777" w:rsidR="00102FC8" w:rsidRPr="001F1D83" w:rsidRDefault="00102FC8" w:rsidP="00102FC8">
      <w:pPr>
        <w:shd w:val="clear" w:color="auto" w:fill="FFFFFF"/>
        <w:jc w:val="both"/>
        <w:rPr>
          <w:rFonts w:asciiTheme="minorHAnsi" w:eastAsia="Times New Roman" w:hAnsiTheme="minorHAnsi" w:cstheme="minorHAnsi"/>
          <w:color w:val="0B0C0C"/>
          <w:szCs w:val="24"/>
          <w:lang w:eastAsia="en-GB"/>
        </w:rPr>
      </w:pPr>
      <w:r w:rsidRPr="001F1D83">
        <w:rPr>
          <w:rFonts w:asciiTheme="minorHAnsi" w:eastAsia="Times New Roman" w:hAnsiTheme="minorHAnsi" w:cstheme="minorHAnsi"/>
          <w:color w:val="0B0C0C"/>
          <w:szCs w:val="24"/>
          <w:lang w:eastAsia="en-GB"/>
        </w:rPr>
        <w:t>The restrictions that mean that:</w:t>
      </w:r>
    </w:p>
    <w:p w14:paraId="27C1FC9A" w14:textId="77777777" w:rsidR="00102FC8" w:rsidRPr="001F1D83" w:rsidRDefault="00102FC8" w:rsidP="00102FC8">
      <w:pPr>
        <w:numPr>
          <w:ilvl w:val="0"/>
          <w:numId w:val="36"/>
        </w:numPr>
        <w:shd w:val="clear" w:color="auto" w:fill="FFFFFF"/>
        <w:ind w:left="300"/>
        <w:jc w:val="both"/>
        <w:rPr>
          <w:rFonts w:asciiTheme="minorHAnsi" w:eastAsia="Times New Roman" w:hAnsiTheme="minorHAnsi" w:cstheme="minorHAnsi"/>
          <w:color w:val="0B0C0C"/>
          <w:szCs w:val="24"/>
          <w:lang w:eastAsia="en-GB"/>
        </w:rPr>
      </w:pPr>
      <w:r w:rsidRPr="001F1D83">
        <w:rPr>
          <w:rFonts w:asciiTheme="minorHAnsi" w:eastAsia="Times New Roman" w:hAnsiTheme="minorHAnsi" w:cstheme="minorHAnsi"/>
          <w:color w:val="0B0C0C"/>
          <w:szCs w:val="24"/>
          <w:lang w:eastAsia="en-GB"/>
        </w:rPr>
        <w:t>Sales of bagged traditional house coal and wet wood in units under 2m3 are now unlawful.</w:t>
      </w:r>
    </w:p>
    <w:p w14:paraId="58045D63" w14:textId="77777777" w:rsidR="00102FC8" w:rsidRPr="001F1D83" w:rsidRDefault="00102FC8" w:rsidP="00102FC8">
      <w:pPr>
        <w:numPr>
          <w:ilvl w:val="0"/>
          <w:numId w:val="36"/>
        </w:numPr>
        <w:shd w:val="clear" w:color="auto" w:fill="FFFFFF"/>
        <w:ind w:left="300"/>
        <w:jc w:val="both"/>
        <w:rPr>
          <w:rFonts w:asciiTheme="minorHAnsi" w:eastAsia="Times New Roman" w:hAnsiTheme="minorHAnsi" w:cstheme="minorHAnsi"/>
          <w:color w:val="0B0C0C"/>
          <w:szCs w:val="24"/>
          <w:lang w:eastAsia="en-GB"/>
        </w:rPr>
      </w:pPr>
      <w:r w:rsidRPr="001F1D83">
        <w:rPr>
          <w:rFonts w:asciiTheme="minorHAnsi" w:eastAsia="Times New Roman" w:hAnsiTheme="minorHAnsi" w:cstheme="minorHAnsi"/>
          <w:color w:val="0B0C0C"/>
          <w:szCs w:val="24"/>
          <w:lang w:eastAsia="en-GB"/>
        </w:rPr>
        <w:t>Wet wood in larger volumes must be sold with advice on how to dry it before burning.</w:t>
      </w:r>
    </w:p>
    <w:p w14:paraId="3A7F76B5" w14:textId="77777777" w:rsidR="00102FC8" w:rsidRPr="001F1D83" w:rsidRDefault="00102FC8" w:rsidP="00102FC8">
      <w:pPr>
        <w:numPr>
          <w:ilvl w:val="0"/>
          <w:numId w:val="36"/>
        </w:numPr>
        <w:shd w:val="clear" w:color="auto" w:fill="FFFFFF"/>
        <w:ind w:left="300"/>
        <w:jc w:val="both"/>
        <w:rPr>
          <w:rFonts w:asciiTheme="minorHAnsi" w:eastAsia="Times New Roman" w:hAnsiTheme="minorHAnsi" w:cstheme="minorHAnsi"/>
          <w:color w:val="0B0C0C"/>
          <w:szCs w:val="24"/>
          <w:lang w:eastAsia="en-GB"/>
        </w:rPr>
      </w:pPr>
      <w:r w:rsidRPr="001F1D83">
        <w:rPr>
          <w:rFonts w:asciiTheme="minorHAnsi" w:eastAsia="Times New Roman" w:hAnsiTheme="minorHAnsi" w:cstheme="minorHAnsi"/>
          <w:color w:val="0B0C0C"/>
          <w:szCs w:val="24"/>
          <w:lang w:eastAsia="en-GB"/>
        </w:rPr>
        <w:t>All manufactured solid fuels must now have a low sulphur content and only emit a small amount of smoke.</w:t>
      </w:r>
    </w:p>
    <w:p w14:paraId="46F9CC21" w14:textId="77777777" w:rsidR="00102FC8" w:rsidRPr="001F1D83" w:rsidRDefault="00102FC8" w:rsidP="00102FC8">
      <w:pPr>
        <w:numPr>
          <w:ilvl w:val="0"/>
          <w:numId w:val="36"/>
        </w:numPr>
        <w:shd w:val="clear" w:color="auto" w:fill="FFFFFF"/>
        <w:ind w:left="300"/>
        <w:jc w:val="both"/>
        <w:rPr>
          <w:rFonts w:asciiTheme="minorHAnsi" w:eastAsia="Times New Roman" w:hAnsiTheme="minorHAnsi" w:cstheme="minorHAnsi"/>
          <w:color w:val="0B0C0C"/>
          <w:szCs w:val="24"/>
          <w:lang w:eastAsia="en-GB"/>
        </w:rPr>
      </w:pPr>
      <w:r w:rsidRPr="001F1D83">
        <w:rPr>
          <w:rFonts w:asciiTheme="minorHAnsi" w:eastAsia="Times New Roman" w:hAnsiTheme="minorHAnsi" w:cstheme="minorHAnsi"/>
          <w:color w:val="0B0C0C"/>
          <w:szCs w:val="24"/>
          <w:lang w:eastAsia="en-GB"/>
        </w:rPr>
        <w:t>In addition, a new certification scheme will see products certified and labelled by suppliers to ensure that they can be easily identified, and retail outlets will only able to sell fuel that is accompanied by the correct label.</w:t>
      </w:r>
    </w:p>
    <w:p w14:paraId="157C63C2" w14:textId="77777777" w:rsidR="001F331A" w:rsidRPr="00102FC8" w:rsidRDefault="001F331A" w:rsidP="00102FC8">
      <w:pPr>
        <w:jc w:val="both"/>
        <w:rPr>
          <w:rFonts w:eastAsia="Times New Roman"/>
          <w:b/>
          <w:bCs/>
          <w:iCs/>
          <w:color w:val="008938"/>
          <w:szCs w:val="24"/>
        </w:rPr>
      </w:pPr>
    </w:p>
    <w:p w14:paraId="5C3BC188" w14:textId="5A33EF9E" w:rsidR="001F331A" w:rsidRDefault="001F331A" w:rsidP="00400B0F">
      <w:pPr>
        <w:spacing w:before="0" w:after="0"/>
        <w:rPr>
          <w:rFonts w:eastAsia="Times New Roman"/>
          <w:b/>
          <w:bCs/>
          <w:iCs/>
          <w:color w:val="008938"/>
          <w:sz w:val="32"/>
          <w:szCs w:val="28"/>
        </w:rPr>
        <w:sectPr w:rsidR="001F331A" w:rsidSect="003172A5">
          <w:footerReference w:type="default" r:id="rId36"/>
          <w:pgSz w:w="11899" w:h="16838" w:code="9"/>
          <w:pgMar w:top="1134" w:right="1134" w:bottom="1134" w:left="1134" w:header="340" w:footer="340" w:gutter="0"/>
          <w:cols w:space="708"/>
          <w:docGrid w:linePitch="326"/>
        </w:sectPr>
      </w:pPr>
    </w:p>
    <w:p w14:paraId="1B996B2C" w14:textId="11AF7A11" w:rsidR="00EC5AA4" w:rsidRDefault="00E56F4E" w:rsidP="00400B0F">
      <w:pPr>
        <w:pStyle w:val="Heading1"/>
      </w:pPr>
      <w:bookmarkStart w:id="46" w:name="_Toc75438379"/>
      <w:bookmarkEnd w:id="43"/>
      <w:bookmarkEnd w:id="44"/>
      <w:bookmarkEnd w:id="45"/>
      <w:r>
        <w:t>Air Quality Monitoring Data and Comparison with Air Quality Objectives and National Compliance</w:t>
      </w:r>
      <w:bookmarkEnd w:id="46"/>
    </w:p>
    <w:p w14:paraId="3037B48C" w14:textId="50D8CBAD" w:rsidR="00464F41" w:rsidRPr="00EB58F8" w:rsidRDefault="00464F41" w:rsidP="00400B0F">
      <w:r w:rsidRPr="00B36108">
        <w:t xml:space="preserve">This section sets out </w:t>
      </w:r>
      <w:r>
        <w:t>the</w:t>
      </w:r>
      <w:r w:rsidRPr="00B36108">
        <w:t xml:space="preserve"> monitoring </w:t>
      </w:r>
      <w:r>
        <w:t>undertaken within</w:t>
      </w:r>
      <w:r w:rsidR="009C03C8">
        <w:t xml:space="preserve"> 2020</w:t>
      </w:r>
      <w:r>
        <w:t xml:space="preserve"> by</w:t>
      </w:r>
      <w:r w:rsidR="009C03C8">
        <w:t xml:space="preserve"> South Tyneside Council </w:t>
      </w:r>
      <w:r w:rsidRPr="00B36108">
        <w:t>and how it compares with</w:t>
      </w:r>
      <w:r>
        <w:t xml:space="preserve"> the relevant air quality</w:t>
      </w:r>
      <w:r w:rsidRPr="00B36108">
        <w:t xml:space="preserve"> objectives.</w:t>
      </w:r>
      <w:r>
        <w:t xml:space="preserve"> In addition</w:t>
      </w:r>
      <w:r w:rsidR="00346AAA">
        <w:t>,</w:t>
      </w:r>
      <w:r>
        <w:t xml:space="preserve"> monitoring results are presented for a </w:t>
      </w:r>
      <w:r w:rsidR="00346AAA">
        <w:t>five-</w:t>
      </w:r>
      <w:r>
        <w:t xml:space="preserve">year period </w:t>
      </w:r>
      <w:r w:rsidR="00E101D3">
        <w:t>between 2016 and 2020</w:t>
      </w:r>
      <w:r>
        <w:t xml:space="preserve"> to allow </w:t>
      </w:r>
      <w:r w:rsidR="00812704">
        <w:t xml:space="preserve">monitoring </w:t>
      </w:r>
      <w:r>
        <w:t xml:space="preserve">trends to be identified and </w:t>
      </w:r>
      <w:r w:rsidR="00346AAA">
        <w:t>discussed</w:t>
      </w:r>
      <w:r>
        <w:t>.</w:t>
      </w:r>
    </w:p>
    <w:p w14:paraId="67B1261D" w14:textId="77777777" w:rsidR="00EC5AA4" w:rsidRDefault="00B36108" w:rsidP="0062374A">
      <w:pPr>
        <w:pStyle w:val="Heading2"/>
      </w:pPr>
      <w:bookmarkStart w:id="47" w:name="_Toc75438380"/>
      <w:r>
        <w:t>Summary of Monitoring Undertaken</w:t>
      </w:r>
      <w:bookmarkEnd w:id="47"/>
    </w:p>
    <w:p w14:paraId="0C5E03DE" w14:textId="77777777" w:rsidR="00EC5AA4" w:rsidRDefault="00B36108" w:rsidP="00400B0F">
      <w:pPr>
        <w:pStyle w:val="Heading3"/>
      </w:pPr>
      <w:bookmarkStart w:id="48" w:name="_Toc75438381"/>
      <w:bookmarkStart w:id="49" w:name="_Toc473641183"/>
      <w:bookmarkStart w:id="50" w:name="_Toc522629675"/>
      <w:r>
        <w:t>Automatic Monitoring Sites</w:t>
      </w:r>
      <w:bookmarkEnd w:id="48"/>
    </w:p>
    <w:bookmarkEnd w:id="49"/>
    <w:bookmarkEnd w:id="50"/>
    <w:p w14:paraId="4A78D6DD" w14:textId="77777777" w:rsidR="000A55BD" w:rsidRDefault="000A55BD" w:rsidP="000A55BD">
      <w:pPr>
        <w:pStyle w:val="Style1"/>
      </w:pPr>
      <w:r>
        <w:t>This section sets out what monitoring has taken place and how it compares with objectives.</w:t>
      </w:r>
    </w:p>
    <w:p w14:paraId="18D7AC76" w14:textId="795C8C4D" w:rsidR="000A55BD" w:rsidRDefault="000A55BD" w:rsidP="000A55BD">
      <w:pPr>
        <w:pStyle w:val="Style1"/>
        <w:jc w:val="both"/>
      </w:pPr>
      <w:r>
        <w:t xml:space="preserve">South Tyneside Council undertook automatic (continuous) monitoring at 3 sites during </w:t>
      </w:r>
      <w:r w:rsidR="00365F3C">
        <w:t>2020</w:t>
      </w:r>
      <w:r>
        <w:t xml:space="preserve">. </w:t>
      </w:r>
      <w:r w:rsidR="00640D39">
        <w:t>Table A.1</w:t>
      </w:r>
      <w:r>
        <w:t xml:space="preserve"> in Appendix A shows the details of the sites. NB. Local authorities do not have to report annually on the following pollutants: 1,3 butadiene, benzene, carbon monoxide and lead, unless local circumstances indicate there is a problem. National monitoring results are available at https://uk-air.defra.gov.uk/</w:t>
      </w:r>
    </w:p>
    <w:p w14:paraId="24FFEBFB" w14:textId="11BE45CF" w:rsidR="000A55BD" w:rsidRDefault="000A55BD" w:rsidP="000A55BD">
      <w:pPr>
        <w:pStyle w:val="Style1"/>
      </w:pPr>
      <w:r>
        <w:t>Maps showing the location of the monitoring sites are provided in Appendix D</w:t>
      </w:r>
      <w:r>
        <w:rPr>
          <w:color w:val="FF0000"/>
        </w:rPr>
        <w:t xml:space="preserve">. </w:t>
      </w:r>
      <w:r>
        <w:t>Further details on how the monitors are calibrated and how the data has been adjusted are included in Appendix C.</w:t>
      </w:r>
    </w:p>
    <w:p w14:paraId="2053D8AE" w14:textId="6AD67EBF" w:rsidR="00A54ECE" w:rsidRDefault="00A54ECE" w:rsidP="000A55BD">
      <w:pPr>
        <w:pStyle w:val="Style1"/>
      </w:pPr>
      <w:r>
        <w:t>There are no exceedances of the Annual Air Quality Object of</w:t>
      </w:r>
      <w:r w:rsidR="006B6135">
        <w:t xml:space="preserve"> </w:t>
      </w:r>
      <w:r w:rsidR="006B6135" w:rsidRPr="008603A5">
        <w:rPr>
          <w:rFonts w:cs="Arial"/>
          <w:iCs/>
        </w:rPr>
        <w:t>40µg/m</w:t>
      </w:r>
      <w:r w:rsidR="006B6135" w:rsidRPr="006D1747">
        <w:rPr>
          <w:rFonts w:cs="Arial"/>
          <w:iCs/>
          <w:vertAlign w:val="superscript"/>
        </w:rPr>
        <w:t>3</w:t>
      </w:r>
    </w:p>
    <w:p w14:paraId="6297C3AC" w14:textId="77777777" w:rsidR="00B36108" w:rsidRDefault="00B36108" w:rsidP="00400B0F">
      <w:pPr>
        <w:pStyle w:val="Heading3"/>
      </w:pPr>
      <w:bookmarkStart w:id="51" w:name="_Toc75438382"/>
      <w:r>
        <w:t>Non-Automatic Monitoring Sites</w:t>
      </w:r>
      <w:bookmarkEnd w:id="51"/>
    </w:p>
    <w:p w14:paraId="2A166898" w14:textId="29699F7B" w:rsidR="00464F41" w:rsidRDefault="000A55BD" w:rsidP="00400B0F">
      <w:pPr>
        <w:pStyle w:val="Style1"/>
      </w:pPr>
      <w:r>
        <w:t xml:space="preserve">South Tyneside Council </w:t>
      </w:r>
      <w:r w:rsidR="00464F41" w:rsidRPr="006F147E">
        <w:t>undertook</w:t>
      </w:r>
      <w:r w:rsidR="00464F41">
        <w:t xml:space="preserve"> non-</w:t>
      </w:r>
      <w:r w:rsidR="00464F41" w:rsidRPr="006F147E">
        <w:t xml:space="preserve"> automatic (</w:t>
      </w:r>
      <w:r w:rsidR="00C43DE6">
        <w:t xml:space="preserve">i.e. </w:t>
      </w:r>
      <w:r w:rsidR="00464F41">
        <w:t>passive</w:t>
      </w:r>
      <w:r w:rsidR="00464F41" w:rsidRPr="006F147E">
        <w:t>) monitoring</w:t>
      </w:r>
      <w:r w:rsidR="00464F41">
        <w:t xml:space="preserve"> of </w:t>
      </w:r>
      <w:r w:rsidR="00464F41" w:rsidRPr="00AA3CF8">
        <w:rPr>
          <w:noProof/>
        </w:rPr>
        <w:t>NO</w:t>
      </w:r>
      <w:r w:rsidR="00464F41" w:rsidRPr="00AA3CF8">
        <w:rPr>
          <w:noProof/>
          <w:vertAlign w:val="subscript"/>
        </w:rPr>
        <w:t>2</w:t>
      </w:r>
      <w:r w:rsidR="00464F41" w:rsidRPr="006F147E">
        <w:t xml:space="preserve"> </w:t>
      </w:r>
      <w:r>
        <w:t>at 43</w:t>
      </w:r>
      <w:r w:rsidR="00464F41" w:rsidRPr="006F147E">
        <w:t xml:space="preserve"> sites during </w:t>
      </w:r>
      <w:r>
        <w:t>2020</w:t>
      </w:r>
      <w:r w:rsidR="00464F41" w:rsidRPr="006F147E">
        <w:t xml:space="preserve">. </w:t>
      </w:r>
      <w:r w:rsidR="00E5134E">
        <w:fldChar w:fldCharType="begin"/>
      </w:r>
      <w:r w:rsidR="00E5134E">
        <w:instrText xml:space="preserve"> REF _Ref66450518 \h </w:instrText>
      </w:r>
      <w:r w:rsidR="00E5134E">
        <w:fldChar w:fldCharType="separate"/>
      </w:r>
      <w:r w:rsidR="0062374A">
        <w:t>Table A.</w:t>
      </w:r>
      <w:r w:rsidR="0062374A">
        <w:rPr>
          <w:noProof/>
        </w:rPr>
        <w:t>2</w:t>
      </w:r>
      <w:r w:rsidR="00E5134E">
        <w:fldChar w:fldCharType="end"/>
      </w:r>
      <w:r w:rsidR="00E5134E">
        <w:t xml:space="preserve"> </w:t>
      </w:r>
      <w:r w:rsidR="00464F41">
        <w:t xml:space="preserve">in </w:t>
      </w:r>
      <w:hyperlink w:anchor="_Appendix_A:_Monitoring" w:history="1">
        <w:r w:rsidR="006748E0" w:rsidRPr="00803D59">
          <w:t>Appendix A</w:t>
        </w:r>
      </w:hyperlink>
      <w:r w:rsidR="006748E0">
        <w:t xml:space="preserve"> </w:t>
      </w:r>
      <w:r w:rsidR="00464F41">
        <w:t>presents</w:t>
      </w:r>
      <w:r w:rsidR="00464F41" w:rsidRPr="006F147E">
        <w:t xml:space="preserve"> the details of the </w:t>
      </w:r>
      <w:r w:rsidR="00464F41">
        <w:t xml:space="preserve">non-automatic </w:t>
      </w:r>
      <w:r w:rsidR="00464F41" w:rsidRPr="006F147E">
        <w:t>sites.</w:t>
      </w:r>
    </w:p>
    <w:p w14:paraId="484EC77C" w14:textId="0F0577C3" w:rsidR="00463F1B" w:rsidRDefault="00463F1B" w:rsidP="00463F1B">
      <w:pPr>
        <w:rPr>
          <w:szCs w:val="24"/>
        </w:rPr>
      </w:pPr>
      <w:r>
        <w:t xml:space="preserve">Maps showing the location of the monitoring sites are provided in </w:t>
      </w:r>
    </w:p>
    <w:p w14:paraId="07291159" w14:textId="31900EA2" w:rsidR="00463F1B" w:rsidRPr="00463F1B" w:rsidRDefault="00463F1B" w:rsidP="00463F1B">
      <w:pPr>
        <w:rPr>
          <w:rStyle w:val="Hyperlink"/>
        </w:rPr>
      </w:pPr>
      <w:r>
        <w:fldChar w:fldCharType="begin"/>
      </w:r>
      <w:r>
        <w:instrText xml:space="preserve"> HYPERLINK "https://drive.google.com/open?id=1mRyjjoiCBuFuU7S8XqtGZsfKXJUso-q3&amp;usp=sharing" \o "South Tyneside Council Diffusion tube locations" </w:instrText>
      </w:r>
      <w:r>
        <w:fldChar w:fldCharType="separate"/>
      </w:r>
      <w:r w:rsidRPr="00463F1B">
        <w:rPr>
          <w:rStyle w:val="Hyperlink"/>
        </w:rPr>
        <w:t>https://drive.google.com/open?id=1mRyjjoiCBuFuU7S8XqtGZsfKXJUso-q3&amp;usp=sharing</w:t>
      </w:r>
    </w:p>
    <w:p w14:paraId="38B75461" w14:textId="5683628A" w:rsidR="00464F41" w:rsidRDefault="00463F1B" w:rsidP="00400B0F">
      <w:pPr>
        <w:pStyle w:val="Style1"/>
      </w:pPr>
      <w:r>
        <w:rPr>
          <w:rFonts w:eastAsia="Arial"/>
          <w:szCs w:val="22"/>
        </w:rPr>
        <w:fldChar w:fldCharType="end"/>
      </w:r>
      <w:r w:rsidR="00464F41">
        <w:t>Further details on Quality Assurance/Quality Control (QA/QC)</w:t>
      </w:r>
      <w:r w:rsidR="00464F41" w:rsidRPr="00923732">
        <w:t xml:space="preserve"> </w:t>
      </w:r>
      <w:r w:rsidR="00464F41">
        <w:t>for the diffusion tubes, including bias adjustments and any other adjustments applied (</w:t>
      </w:r>
      <w:proofErr w:type="gramStart"/>
      <w:r w:rsidR="00464F41">
        <w:t>e.g.</w:t>
      </w:r>
      <w:proofErr w:type="gramEnd"/>
      <w:r w:rsidR="00464F41">
        <w:t xml:space="preserve"> annualisation and/or distance correction), are included in </w:t>
      </w:r>
      <w:hyperlink w:anchor="_Appendix_C:_Supporting" w:history="1">
        <w:r w:rsidR="00464F41" w:rsidRPr="00812704">
          <w:t>Appendix C</w:t>
        </w:r>
      </w:hyperlink>
      <w:r w:rsidR="00464F41">
        <w:t>.</w:t>
      </w:r>
    </w:p>
    <w:p w14:paraId="09682712" w14:textId="77777777" w:rsidR="000066D0" w:rsidRDefault="000066D0" w:rsidP="00400B0F">
      <w:pPr>
        <w:pStyle w:val="Style1"/>
      </w:pPr>
    </w:p>
    <w:p w14:paraId="2843F883" w14:textId="736BD1DB" w:rsidR="00B36108" w:rsidRDefault="00F22D7E" w:rsidP="0062374A">
      <w:pPr>
        <w:pStyle w:val="Heading2"/>
      </w:pPr>
      <w:bookmarkStart w:id="52" w:name="_Toc75438383"/>
      <w:r>
        <w:t xml:space="preserve">3.2 </w:t>
      </w:r>
      <w:r w:rsidR="00EB58F8">
        <w:t>Individual Pollutants</w:t>
      </w:r>
      <w:bookmarkEnd w:id="52"/>
    </w:p>
    <w:p w14:paraId="52A18C76" w14:textId="711EDD31" w:rsidR="00B36108" w:rsidRDefault="00EB58F8" w:rsidP="00400B0F">
      <w:r w:rsidRPr="00EB58F8">
        <w:t xml:space="preserve">The air quality monitoring results presented in this section are, where relevant, adjusted for bias, annualisation (where the </w:t>
      </w:r>
      <w:r w:rsidR="00812704">
        <w:t xml:space="preserve">annual mean </w:t>
      </w:r>
      <w:r w:rsidRPr="00EB58F8">
        <w:t xml:space="preserve">data capture </w:t>
      </w:r>
      <w:r w:rsidR="00812704">
        <w:t>is</w:t>
      </w:r>
      <w:r w:rsidRPr="00EB58F8">
        <w:t xml:space="preserve"> below 75%</w:t>
      </w:r>
      <w:r w:rsidR="00812704">
        <w:t xml:space="preserve"> and greater than 33%</w:t>
      </w:r>
      <w:r w:rsidRPr="00EB58F8">
        <w:t xml:space="preserve">), and distance correction. Further details on adjustments are provided in </w:t>
      </w:r>
      <w:hyperlink w:anchor="_Appendix_C:_Supporting" w:history="1">
        <w:r w:rsidR="00861B1B" w:rsidRPr="00803D59">
          <w:t>Appendix C</w:t>
        </w:r>
      </w:hyperlink>
      <w:r w:rsidR="00861B1B">
        <w:t>.</w:t>
      </w:r>
    </w:p>
    <w:p w14:paraId="1A9660AA" w14:textId="5039AD71" w:rsidR="00EB58F8" w:rsidRDefault="005C0200" w:rsidP="005C0200">
      <w:pPr>
        <w:pStyle w:val="Heading3"/>
        <w:numPr>
          <w:ilvl w:val="0"/>
          <w:numId w:val="0"/>
        </w:numPr>
        <w:ind w:left="720" w:hanging="720"/>
      </w:pPr>
      <w:bookmarkStart w:id="53" w:name="_Toc75438384"/>
      <w:r>
        <w:t xml:space="preserve">3.2.1 </w:t>
      </w:r>
      <w:r w:rsidR="00EB58F8">
        <w:t>Nitrogen Dioxide (NO</w:t>
      </w:r>
      <w:r w:rsidR="00EB58F8" w:rsidRPr="005C0200">
        <w:rPr>
          <w:vertAlign w:val="subscript"/>
        </w:rPr>
        <w:t>2</w:t>
      </w:r>
      <w:r w:rsidR="00EB58F8">
        <w:t>)</w:t>
      </w:r>
      <w:bookmarkEnd w:id="53"/>
    </w:p>
    <w:p w14:paraId="16070C6A" w14:textId="5DE845D2" w:rsidR="00005A10" w:rsidRPr="00E33DDC" w:rsidRDefault="00E5134E" w:rsidP="00400B0F">
      <w:r>
        <w:fldChar w:fldCharType="begin"/>
      </w:r>
      <w:r>
        <w:instrText xml:space="preserve"> REF _Ref65700500 \h </w:instrText>
      </w:r>
      <w:r>
        <w:fldChar w:fldCharType="separate"/>
      </w:r>
      <w:r w:rsidR="0062374A">
        <w:t>Table A.</w:t>
      </w:r>
      <w:r w:rsidR="0062374A">
        <w:rPr>
          <w:noProof/>
        </w:rPr>
        <w:t>3</w:t>
      </w:r>
      <w:r>
        <w:fldChar w:fldCharType="end"/>
      </w:r>
      <w:r>
        <w:t xml:space="preserve"> </w:t>
      </w:r>
      <w:r w:rsidR="00216085">
        <w:t xml:space="preserve">and </w:t>
      </w:r>
      <w:r w:rsidR="00216085">
        <w:fldChar w:fldCharType="begin"/>
      </w:r>
      <w:r w:rsidR="00216085">
        <w:instrText xml:space="preserve"> REF _Ref65700338 \h </w:instrText>
      </w:r>
      <w:r w:rsidR="00216085">
        <w:fldChar w:fldCharType="separate"/>
      </w:r>
      <w:r w:rsidR="0062374A">
        <w:t>Table A.</w:t>
      </w:r>
      <w:r w:rsidR="0062374A">
        <w:rPr>
          <w:noProof/>
        </w:rPr>
        <w:t>4</w:t>
      </w:r>
      <w:r w:rsidR="00216085">
        <w:fldChar w:fldCharType="end"/>
      </w:r>
      <w:r w:rsidR="00216085">
        <w:t xml:space="preserve"> </w:t>
      </w:r>
      <w:r w:rsidR="00005A10" w:rsidRPr="00E33DDC">
        <w:t xml:space="preserve">in </w:t>
      </w:r>
      <w:hyperlink w:anchor="_Appendix_A:_Monitoring" w:history="1">
        <w:r w:rsidR="00005A10" w:rsidRPr="00924A1F">
          <w:t>Appendix A</w:t>
        </w:r>
      </w:hyperlink>
      <w:r w:rsidR="00005A10" w:rsidRPr="00E33DDC">
        <w:t xml:space="preserve"> compare the ratified and adjusted monitored NO</w:t>
      </w:r>
      <w:r w:rsidR="00005A10" w:rsidRPr="00E33DDC">
        <w:rPr>
          <w:vertAlign w:val="subscript"/>
        </w:rPr>
        <w:t>2</w:t>
      </w:r>
      <w:r w:rsidR="00005A10" w:rsidRPr="00E33DDC">
        <w:t xml:space="preserve"> annual mean concentrations for the past five years with the air quality objective of 40µg/m</w:t>
      </w:r>
      <w:r w:rsidR="00005A10" w:rsidRPr="00E33DDC">
        <w:rPr>
          <w:vertAlign w:val="superscript"/>
        </w:rPr>
        <w:t>3</w:t>
      </w:r>
      <w:r w:rsidR="00005A10" w:rsidRPr="00E33DDC">
        <w:t>. Note that the concentration data presented represents the concentration at the location of the monitoring site, following the application of bias adjustment and annualisation, as required (i.e. the values are exclusive of any consideration to fall-off with distance adjustment).</w:t>
      </w:r>
    </w:p>
    <w:p w14:paraId="2773E9E5" w14:textId="468AD2FA" w:rsidR="00005A10" w:rsidRDefault="00005A10" w:rsidP="00400B0F">
      <w:r w:rsidRPr="00E33DDC">
        <w:t xml:space="preserve">For diffusion tubes, the </w:t>
      </w:r>
      <w:r w:rsidR="00367539">
        <w:t>full 2020</w:t>
      </w:r>
      <w:r w:rsidRPr="00E33DDC">
        <w:t xml:space="preserve"> dataset of monthly mean values is provided </w:t>
      </w:r>
      <w:r w:rsidR="00E33DDC" w:rsidRPr="00E33DDC">
        <w:t>in</w:t>
      </w:r>
      <w:r w:rsidR="00924A1F">
        <w:t xml:space="preserve"> </w:t>
      </w:r>
      <w:hyperlink w:anchor="_Appendix_B:_Full" w:history="1">
        <w:r w:rsidR="00924A1F" w:rsidRPr="00924A1F">
          <w:t>Appendix B</w:t>
        </w:r>
      </w:hyperlink>
      <w:r w:rsidRPr="00E33DDC">
        <w:t xml:space="preserve">. Note that the concentration data presented in </w:t>
      </w:r>
      <w:r w:rsidR="00E33DDC" w:rsidRPr="00E33DDC">
        <w:rPr>
          <w:color w:val="2B579A"/>
          <w:shd w:val="clear" w:color="auto" w:fill="E6E6E6"/>
        </w:rPr>
        <w:fldChar w:fldCharType="begin"/>
      </w:r>
      <w:r w:rsidR="00E33DDC" w:rsidRPr="00E33DDC">
        <w:instrText xml:space="preserve"> REF _Ref55286624 \h </w:instrText>
      </w:r>
      <w:r w:rsidR="00E33DDC">
        <w:instrText xml:space="preserve"> \* MERGEFORMAT </w:instrText>
      </w:r>
      <w:r w:rsidR="00E33DDC" w:rsidRPr="00E33DDC">
        <w:rPr>
          <w:color w:val="2B579A"/>
          <w:shd w:val="clear" w:color="auto" w:fill="E6E6E6"/>
        </w:rPr>
      </w:r>
      <w:r w:rsidR="00E33DDC" w:rsidRPr="00E33DDC">
        <w:rPr>
          <w:color w:val="2B579A"/>
          <w:shd w:val="clear" w:color="auto" w:fill="E6E6E6"/>
        </w:rPr>
        <w:fldChar w:fldCharType="separate"/>
      </w:r>
      <w:r w:rsidR="0062374A">
        <w:t>Table B.</w:t>
      </w:r>
      <w:r w:rsidR="0062374A">
        <w:rPr>
          <w:noProof/>
        </w:rPr>
        <w:t>1</w:t>
      </w:r>
      <w:r w:rsidR="00E33DDC" w:rsidRPr="00E33DDC">
        <w:rPr>
          <w:color w:val="2B579A"/>
          <w:shd w:val="clear" w:color="auto" w:fill="E6E6E6"/>
        </w:rPr>
        <w:fldChar w:fldCharType="end"/>
      </w:r>
      <w:r w:rsidRPr="00E33DDC">
        <w:t xml:space="preserve"> includes distan</w:t>
      </w:r>
      <w:r>
        <w:t>ce corrected values, only where relevant.</w:t>
      </w:r>
    </w:p>
    <w:p w14:paraId="24E0B030" w14:textId="3D911935" w:rsidR="00EB58F8" w:rsidRDefault="006748E0" w:rsidP="00400B0F">
      <w:r>
        <w:fldChar w:fldCharType="begin"/>
      </w:r>
      <w:r>
        <w:instrText xml:space="preserve"> REF _Ref55286443 \h </w:instrText>
      </w:r>
      <w:r>
        <w:fldChar w:fldCharType="separate"/>
      </w:r>
      <w:r w:rsidR="0062374A">
        <w:t>Table A.</w:t>
      </w:r>
      <w:r w:rsidR="0062374A">
        <w:rPr>
          <w:noProof/>
        </w:rPr>
        <w:t>5</w:t>
      </w:r>
      <w:r>
        <w:fldChar w:fldCharType="end"/>
      </w:r>
      <w:r>
        <w:t xml:space="preserve"> </w:t>
      </w:r>
      <w:r w:rsidR="00005A10" w:rsidRPr="00E33DDC">
        <w:t xml:space="preserve">in </w:t>
      </w:r>
      <w:hyperlink w:anchor="_Appendix_A:_Monitoring" w:history="1">
        <w:r w:rsidR="008F1215" w:rsidRPr="0039383B">
          <w:t>Appendix A</w:t>
        </w:r>
      </w:hyperlink>
      <w:r w:rsidR="000674D3">
        <w:t xml:space="preserve"> </w:t>
      </w:r>
      <w:r w:rsidR="00005A10" w:rsidRPr="00E33DDC">
        <w:t>compares the ratified continuous monitored NO</w:t>
      </w:r>
      <w:r w:rsidR="00005A10" w:rsidRPr="00E33DDC">
        <w:rPr>
          <w:vertAlign w:val="subscript"/>
        </w:rPr>
        <w:t>2</w:t>
      </w:r>
      <w:r w:rsidR="00005A10" w:rsidRPr="00E33DDC">
        <w:t xml:space="preserve"> hourly mean concentrations for the past five years</w:t>
      </w:r>
      <w:r w:rsidR="00005A10">
        <w:t xml:space="preserve"> with the air quality objective of 200µg/m</w:t>
      </w:r>
      <w:r w:rsidR="00005A10" w:rsidRPr="00005A10">
        <w:rPr>
          <w:vertAlign w:val="superscript"/>
        </w:rPr>
        <w:t>3</w:t>
      </w:r>
      <w:r w:rsidR="00005A10">
        <w:t>, not to be exceeded more than 18 times per year.</w:t>
      </w:r>
    </w:p>
    <w:p w14:paraId="0280D7C8" w14:textId="4D313DB6" w:rsidR="003A188E" w:rsidRDefault="003A188E" w:rsidP="00400B0F">
      <w:r>
        <w:t xml:space="preserve">There has been one change to the Diffusion tube monitoring network in 2020, </w:t>
      </w:r>
      <w:r w:rsidR="000C7210">
        <w:t>DT39</w:t>
      </w:r>
      <w:r w:rsidR="00222718">
        <w:t xml:space="preserve"> </w:t>
      </w:r>
      <w:r w:rsidR="00C003A1">
        <w:t xml:space="preserve">is </w:t>
      </w:r>
      <w:r w:rsidR="00222718">
        <w:t xml:space="preserve">regularly stolen and therefore removed from the network. Previous years concentrations have been </w:t>
      </w:r>
      <w:r w:rsidR="00264B5A">
        <w:t>significantly</w:t>
      </w:r>
      <w:r w:rsidR="00222718">
        <w:t xml:space="preserve"> below the Air Quality Objective level for the annual mean.</w:t>
      </w:r>
    </w:p>
    <w:p w14:paraId="0FE293E1" w14:textId="14F428D5" w:rsidR="00222718" w:rsidRDefault="00222718" w:rsidP="00400B0F">
      <w:r>
        <w:t>No diffusion tubes have been added to the network in 2020, however the network is constantly under review.</w:t>
      </w:r>
    </w:p>
    <w:p w14:paraId="36C42420" w14:textId="2786A593" w:rsidR="00B72EB2" w:rsidRDefault="00B72EB2" w:rsidP="00400B0F">
      <w:r>
        <w:t>Trend graphs</w:t>
      </w:r>
      <w:r w:rsidR="007F46F4">
        <w:t xml:space="preserve"> for diffusion tubes</w:t>
      </w:r>
      <w:r>
        <w:t xml:space="preserve"> are provided in </w:t>
      </w:r>
      <w:r w:rsidR="00A01868">
        <w:t xml:space="preserve">Appendix A and </w:t>
      </w:r>
      <w:r w:rsidR="00FD7433">
        <w:t xml:space="preserve">show a clear trend of decreasing </w:t>
      </w:r>
      <w:r w:rsidR="007F46F4">
        <w:t>concentrations in 2020. There are no exceedances of the Annual air quality objective level.</w:t>
      </w:r>
    </w:p>
    <w:p w14:paraId="5A4A6C7A" w14:textId="4F71851B" w:rsidR="003D31D1" w:rsidRDefault="008A24E2" w:rsidP="00400B0F">
      <w:r>
        <w:t xml:space="preserve">The highest concentration continues to be DT27 </w:t>
      </w:r>
      <w:r w:rsidR="005D2FEE">
        <w:t xml:space="preserve">at the Arches roundabout, however </w:t>
      </w:r>
      <w:r w:rsidR="002D014B">
        <w:t>at 26</w:t>
      </w:r>
      <w:r w:rsidR="003D31D1" w:rsidRPr="003D31D1">
        <w:rPr>
          <w:rFonts w:cs="Arial"/>
          <w:iCs/>
        </w:rPr>
        <w:t xml:space="preserve"> </w:t>
      </w:r>
      <w:r w:rsidR="003D31D1" w:rsidRPr="008603A5">
        <w:rPr>
          <w:rFonts w:cs="Arial"/>
          <w:iCs/>
        </w:rPr>
        <w:t>µg/m</w:t>
      </w:r>
      <w:r w:rsidR="003D31D1" w:rsidRPr="006D1747">
        <w:rPr>
          <w:rFonts w:cs="Arial"/>
          <w:iCs/>
          <w:vertAlign w:val="superscript"/>
        </w:rPr>
        <w:t>3</w:t>
      </w:r>
      <w:r w:rsidR="003D31D1">
        <w:rPr>
          <w:rFonts w:cs="Arial"/>
          <w:iCs/>
          <w:vertAlign w:val="superscript"/>
        </w:rPr>
        <w:t xml:space="preserve"> </w:t>
      </w:r>
      <w:r w:rsidR="003D31D1">
        <w:t xml:space="preserve">it is still </w:t>
      </w:r>
      <w:r w:rsidR="000D6DF2">
        <w:t xml:space="preserve">significantly </w:t>
      </w:r>
      <w:r w:rsidR="008D0E7B">
        <w:t xml:space="preserve">lower than the </w:t>
      </w:r>
      <w:r w:rsidR="003D31D1">
        <w:t>annual objective.</w:t>
      </w:r>
      <w:r w:rsidR="00D44057">
        <w:t xml:space="preserve"> This diffusion tube does not represent relevant public exposure </w:t>
      </w:r>
      <w:r w:rsidR="00983E2C">
        <w:t xml:space="preserve">as per the relevant guidance in LAQM TG.16, however it is in its position due to the heavy traffic in this area, </w:t>
      </w:r>
      <w:r w:rsidR="00B109BC">
        <w:t>and to</w:t>
      </w:r>
      <w:r w:rsidR="00983E2C">
        <w:t xml:space="preserve"> monitor improvements as a result of significant changes to the road networ</w:t>
      </w:r>
      <w:r w:rsidR="00B109BC">
        <w:t>k in this area.</w:t>
      </w:r>
    </w:p>
    <w:p w14:paraId="603BC67E" w14:textId="30DCEC74" w:rsidR="00B109BC" w:rsidRDefault="00B109BC" w:rsidP="00400B0F">
      <w:pPr>
        <w:rPr>
          <w:rFonts w:cs="Arial"/>
          <w:iCs/>
          <w:vertAlign w:val="superscript"/>
        </w:rPr>
      </w:pPr>
      <w:r>
        <w:t xml:space="preserve">The lowest </w:t>
      </w:r>
      <w:r w:rsidR="004B3761">
        <w:t>concentration is found at DT3, Front Street</w:t>
      </w:r>
      <w:r w:rsidR="00AD2042">
        <w:t xml:space="preserve"> with a concentration of 13.5</w:t>
      </w:r>
      <w:r w:rsidR="00AD2042" w:rsidRPr="00AD2042">
        <w:rPr>
          <w:rFonts w:cs="Arial"/>
          <w:iCs/>
        </w:rPr>
        <w:t xml:space="preserve"> </w:t>
      </w:r>
      <w:r w:rsidR="00AD2042" w:rsidRPr="008603A5">
        <w:rPr>
          <w:rFonts w:cs="Arial"/>
          <w:iCs/>
        </w:rPr>
        <w:t>µg/m</w:t>
      </w:r>
      <w:r w:rsidR="00AD2042" w:rsidRPr="006D1747">
        <w:rPr>
          <w:rFonts w:cs="Arial"/>
          <w:iCs/>
          <w:vertAlign w:val="superscript"/>
        </w:rPr>
        <w:t>3</w:t>
      </w:r>
      <w:r w:rsidR="00AD2042">
        <w:rPr>
          <w:rFonts w:cs="Arial"/>
          <w:iCs/>
          <w:vertAlign w:val="superscript"/>
        </w:rPr>
        <w:t>.</w:t>
      </w:r>
    </w:p>
    <w:p w14:paraId="3483389C" w14:textId="43EBE029" w:rsidR="00235E8D" w:rsidRPr="0003326A" w:rsidRDefault="00AD2042" w:rsidP="00400B0F">
      <w:pPr>
        <w:rPr>
          <w:rFonts w:cs="Arial"/>
          <w:iCs/>
        </w:rPr>
      </w:pPr>
      <w:r w:rsidRPr="004F2C9C">
        <w:t xml:space="preserve">The highest decrease </w:t>
      </w:r>
      <w:r w:rsidR="002E3D41" w:rsidRPr="004F2C9C">
        <w:t xml:space="preserve">from 2019 to 2020 is </w:t>
      </w:r>
      <w:r w:rsidR="00235E8D" w:rsidRPr="004F2C9C">
        <w:t xml:space="preserve">12.4 </w:t>
      </w:r>
      <w:r w:rsidR="00235E8D" w:rsidRPr="004F2C9C">
        <w:rPr>
          <w:rFonts w:cs="Arial"/>
          <w:iCs/>
        </w:rPr>
        <w:t>µg/m</w:t>
      </w:r>
      <w:r w:rsidR="00235E8D" w:rsidRPr="004F2C9C">
        <w:rPr>
          <w:rFonts w:cs="Arial"/>
          <w:iCs/>
          <w:vertAlign w:val="superscript"/>
        </w:rPr>
        <w:t>3</w:t>
      </w:r>
      <w:r w:rsidR="00B449B8" w:rsidRPr="004F2C9C">
        <w:rPr>
          <w:rFonts w:cs="Arial"/>
          <w:iCs/>
        </w:rPr>
        <w:t xml:space="preserve"> </w:t>
      </w:r>
      <w:r w:rsidR="003D0DA6" w:rsidRPr="004F2C9C">
        <w:rPr>
          <w:rFonts w:cs="Arial"/>
          <w:iCs/>
        </w:rPr>
        <w:t>at DT</w:t>
      </w:r>
      <w:r w:rsidR="00765BB1" w:rsidRPr="004F2C9C">
        <w:rPr>
          <w:rFonts w:cs="Arial"/>
          <w:iCs/>
        </w:rPr>
        <w:t xml:space="preserve">6, Front St, Boker Lane in Boldon. </w:t>
      </w:r>
      <w:r w:rsidR="00324D8E" w:rsidRPr="004F2C9C">
        <w:rPr>
          <w:rFonts w:cs="Arial"/>
          <w:iCs/>
        </w:rPr>
        <w:t xml:space="preserve">This </w:t>
      </w:r>
      <w:r w:rsidR="001040C8" w:rsidRPr="004F2C9C">
        <w:rPr>
          <w:rFonts w:cs="Arial"/>
          <w:iCs/>
        </w:rPr>
        <w:t>site is located on a key commuter route between Sunderland and Newcastle, therefore traffic levels will have been heavily influenced by lockdown. A</w:t>
      </w:r>
      <w:r w:rsidR="003C5B93" w:rsidRPr="004F2C9C">
        <w:rPr>
          <w:rFonts w:cs="Arial"/>
          <w:iCs/>
        </w:rPr>
        <w:t xml:space="preserve">nother </w:t>
      </w:r>
      <w:r w:rsidR="001040C8" w:rsidRPr="004F2C9C">
        <w:t xml:space="preserve">reason for the drop in </w:t>
      </w:r>
      <w:r w:rsidR="003C5B93" w:rsidRPr="004F2C9C">
        <w:t>traffic at this site</w:t>
      </w:r>
      <w:r w:rsidR="001040C8" w:rsidRPr="004F2C9C">
        <w:t xml:space="preserve"> could be aligned to disruption associated with the Testo’s</w:t>
      </w:r>
      <w:r w:rsidR="004F2C9C">
        <w:t xml:space="preserve"> </w:t>
      </w:r>
      <w:r w:rsidR="004F2C9C" w:rsidRPr="0003326A">
        <w:t>flyover</w:t>
      </w:r>
      <w:r w:rsidR="001040C8" w:rsidRPr="0003326A">
        <w:t xml:space="preserve"> construction scheme being in place from 2018, through to the opening in June 2021</w:t>
      </w:r>
    </w:p>
    <w:p w14:paraId="19FE8D44" w14:textId="6BA0355B" w:rsidR="002B4824" w:rsidRPr="0003326A" w:rsidRDefault="00486028" w:rsidP="00400B0F">
      <w:pPr>
        <w:rPr>
          <w:rFonts w:cs="Arial"/>
          <w:iCs/>
        </w:rPr>
      </w:pPr>
      <w:r w:rsidRPr="0003326A">
        <w:rPr>
          <w:rFonts w:cs="Arial"/>
          <w:iCs/>
        </w:rPr>
        <w:t xml:space="preserve">The smallest decrease from 2019 to 2020 is </w:t>
      </w:r>
      <w:r w:rsidR="00873B93" w:rsidRPr="0003326A">
        <w:rPr>
          <w:rFonts w:cs="Arial"/>
          <w:iCs/>
        </w:rPr>
        <w:t>1.3 µg/m</w:t>
      </w:r>
      <w:r w:rsidR="00873B93" w:rsidRPr="0003326A">
        <w:rPr>
          <w:rFonts w:cs="Arial"/>
          <w:iCs/>
          <w:vertAlign w:val="superscript"/>
        </w:rPr>
        <w:t xml:space="preserve">3 </w:t>
      </w:r>
      <w:r w:rsidR="00873B93" w:rsidRPr="0003326A">
        <w:rPr>
          <w:rFonts w:cs="Arial"/>
          <w:iCs/>
        </w:rPr>
        <w:t>at DT38 Alice St. This indicates that the concentration at this site, on the façade of a residential property</w:t>
      </w:r>
      <w:r w:rsidR="001D2392" w:rsidRPr="0003326A">
        <w:rPr>
          <w:rFonts w:cs="Arial"/>
          <w:iCs/>
        </w:rPr>
        <w:t xml:space="preserve"> near to the A194 is not hugely influenced by road traffic levels, even though the A194 is one of </w:t>
      </w:r>
      <w:r w:rsidR="008845DF" w:rsidRPr="0003326A">
        <w:rPr>
          <w:rFonts w:cs="Arial"/>
          <w:iCs/>
        </w:rPr>
        <w:t xml:space="preserve">the busiest roads on our network. </w:t>
      </w:r>
    </w:p>
    <w:p w14:paraId="7C2BC4B6" w14:textId="70BB162F" w:rsidR="008845DF" w:rsidRPr="0003326A" w:rsidRDefault="008845DF" w:rsidP="00400B0F">
      <w:pPr>
        <w:rPr>
          <w:rFonts w:cs="Arial"/>
          <w:iCs/>
        </w:rPr>
      </w:pPr>
      <w:r w:rsidRPr="0003326A">
        <w:rPr>
          <w:rFonts w:cs="Arial"/>
          <w:iCs/>
        </w:rPr>
        <w:t xml:space="preserve">The </w:t>
      </w:r>
      <w:r w:rsidR="00793C77" w:rsidRPr="0003326A">
        <w:rPr>
          <w:rFonts w:cs="Arial"/>
          <w:iCs/>
        </w:rPr>
        <w:t>average decrease across all diffusion tubes concentrations is 6.7 µg/m</w:t>
      </w:r>
      <w:r w:rsidR="00793C77" w:rsidRPr="0003326A">
        <w:rPr>
          <w:rFonts w:cs="Arial"/>
          <w:iCs/>
          <w:vertAlign w:val="superscript"/>
        </w:rPr>
        <w:t>3</w:t>
      </w:r>
    </w:p>
    <w:p w14:paraId="19D5DEA1" w14:textId="439D53FA" w:rsidR="00CD35BB" w:rsidRDefault="00CD35BB" w:rsidP="00CD35BB">
      <w:pPr>
        <w:pStyle w:val="Style1"/>
      </w:pPr>
      <w:r w:rsidRPr="00C20C6E">
        <w:t>As no diffusion tubes have a concentration of over 60 μg/m³, this indicates that the hourly objective of 200 μg/m3 not to be exceeded more than 18 times a year has not been breached</w:t>
      </w:r>
      <w:r>
        <w:t>.</w:t>
      </w:r>
    </w:p>
    <w:p w14:paraId="5C3A14DC" w14:textId="77777777" w:rsidR="00B72EB2" w:rsidRDefault="00B72EB2" w:rsidP="00B72EB2">
      <w:pPr>
        <w:pStyle w:val="Style1"/>
      </w:pPr>
      <w:r>
        <w:rPr>
          <w:noProof/>
        </w:rPr>
        <w:drawing>
          <wp:inline distT="0" distB="0" distL="0" distR="0" wp14:anchorId="2F62AED7" wp14:editId="77DA2900">
            <wp:extent cx="6085198" cy="337694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92314" cy="3380892"/>
                    </a:xfrm>
                    <a:prstGeom prst="rect">
                      <a:avLst/>
                    </a:prstGeom>
                    <a:noFill/>
                  </pic:spPr>
                </pic:pic>
              </a:graphicData>
            </a:graphic>
          </wp:inline>
        </w:drawing>
      </w:r>
    </w:p>
    <w:p w14:paraId="3B3F3096" w14:textId="77777777" w:rsidR="00B72EB2" w:rsidRDefault="00B72EB2" w:rsidP="00B72EB2">
      <w:pPr>
        <w:pStyle w:val="Style1"/>
      </w:pPr>
      <w:r>
        <w:t>The figure above shows a steady decline in NO2 concentrations at the three continuous monitoring stations in South Tyneside.</w:t>
      </w:r>
    </w:p>
    <w:p w14:paraId="6CFA5FCC" w14:textId="57C7377B" w:rsidR="00B72EB2" w:rsidRDefault="00B72EB2" w:rsidP="00CD35BB">
      <w:pPr>
        <w:pStyle w:val="Style1"/>
      </w:pPr>
      <w:r>
        <w:t xml:space="preserve">The largest decrease is at the continuous monitoring station at Boldon Lane. </w:t>
      </w:r>
    </w:p>
    <w:p w14:paraId="2E4DEDEB" w14:textId="77777777" w:rsidR="00C31E66" w:rsidRDefault="00C31E66" w:rsidP="00C31E66">
      <w:pPr>
        <w:pStyle w:val="Style1"/>
      </w:pPr>
      <w:r>
        <w:t>As there are no exceedances of any annual air quality objectives, South Tyneside Council has no requirement to declare any new AQMA’s.</w:t>
      </w:r>
    </w:p>
    <w:p w14:paraId="5AD3EB8A" w14:textId="74D98F3B" w:rsidR="00EB58F8" w:rsidRDefault="005C0200" w:rsidP="005C0200">
      <w:pPr>
        <w:pStyle w:val="Heading2"/>
      </w:pPr>
      <w:bookmarkStart w:id="54" w:name="_Toc75438385"/>
      <w:r>
        <w:t xml:space="preserve">.2.2 </w:t>
      </w:r>
      <w:r w:rsidR="00005A10">
        <w:t>Particulate Matter (PM</w:t>
      </w:r>
      <w:r w:rsidR="00005A10">
        <w:rPr>
          <w:vertAlign w:val="subscript"/>
        </w:rPr>
        <w:t>10</w:t>
      </w:r>
      <w:r w:rsidR="00005A10">
        <w:t>)</w:t>
      </w:r>
      <w:bookmarkEnd w:id="54"/>
    </w:p>
    <w:p w14:paraId="0EFFFFA0" w14:textId="07350831" w:rsidR="00005A10" w:rsidRPr="00E33DDC" w:rsidRDefault="00E5134E" w:rsidP="006748E0">
      <w:r>
        <w:rPr>
          <w:color w:val="2B579A"/>
          <w:shd w:val="clear" w:color="auto" w:fill="E6E6E6"/>
        </w:rPr>
        <w:fldChar w:fldCharType="begin"/>
      </w:r>
      <w:r>
        <w:rPr>
          <w:color w:val="2B579A"/>
          <w:shd w:val="clear" w:color="auto" w:fill="E6E6E6"/>
        </w:rPr>
        <w:instrText xml:space="preserve"> REF _Ref63330495 \h </w:instrText>
      </w:r>
      <w:r w:rsidR="006748E0">
        <w:rPr>
          <w:color w:val="2B579A"/>
          <w:shd w:val="clear" w:color="auto" w:fill="E6E6E6"/>
        </w:rPr>
        <w:instrText xml:space="preserve"> \* MERGEFORMAT </w:instrText>
      </w:r>
      <w:r>
        <w:rPr>
          <w:color w:val="2B579A"/>
          <w:shd w:val="clear" w:color="auto" w:fill="E6E6E6"/>
        </w:rPr>
      </w:r>
      <w:r>
        <w:rPr>
          <w:color w:val="2B579A"/>
          <w:shd w:val="clear" w:color="auto" w:fill="E6E6E6"/>
        </w:rPr>
        <w:fldChar w:fldCharType="separate"/>
      </w:r>
      <w:r w:rsidR="0062374A">
        <w:t>Table A.</w:t>
      </w:r>
      <w:r w:rsidR="0062374A">
        <w:rPr>
          <w:noProof/>
        </w:rPr>
        <w:t>6</w:t>
      </w:r>
      <w:r>
        <w:rPr>
          <w:color w:val="2B579A"/>
          <w:shd w:val="clear" w:color="auto" w:fill="E6E6E6"/>
        </w:rPr>
        <w:fldChar w:fldCharType="end"/>
      </w:r>
      <w:r w:rsidR="00341451">
        <w:t xml:space="preserve"> </w:t>
      </w:r>
      <w:r w:rsidR="00005A10" w:rsidRPr="00E33DDC">
        <w:t xml:space="preserve">in </w:t>
      </w:r>
      <w:hyperlink w:anchor="_Appendix_A:_Monitoring" w:history="1">
        <w:r w:rsidR="000674D3" w:rsidRPr="000674D3">
          <w:rPr>
            <w:rStyle w:val="Hyperlink"/>
          </w:rPr>
          <w:fldChar w:fldCharType="begin"/>
        </w:r>
        <w:r w:rsidR="000674D3" w:rsidRPr="000674D3">
          <w:rPr>
            <w:rStyle w:val="Hyperlink"/>
          </w:rPr>
          <w:instrText xml:space="preserve"> REF _Ref67664245 \h </w:instrText>
        </w:r>
        <w:r w:rsidR="006748E0">
          <w:rPr>
            <w:rStyle w:val="Hyperlink"/>
          </w:rPr>
          <w:instrText xml:space="preserve"> \* MERGEFORMAT </w:instrText>
        </w:r>
        <w:r w:rsidR="000674D3" w:rsidRPr="000674D3">
          <w:rPr>
            <w:rStyle w:val="Hyperlink"/>
          </w:rPr>
        </w:r>
        <w:r w:rsidR="000674D3" w:rsidRPr="000674D3">
          <w:rPr>
            <w:rStyle w:val="Hyperlink"/>
          </w:rPr>
          <w:fldChar w:fldCharType="separate"/>
        </w:r>
        <w:r w:rsidR="0062374A">
          <w:t>Appendix A: Monitoring Results</w:t>
        </w:r>
        <w:r w:rsidR="000674D3" w:rsidRPr="000674D3">
          <w:rPr>
            <w:rStyle w:val="Hyperlink"/>
          </w:rPr>
          <w:fldChar w:fldCharType="end"/>
        </w:r>
      </w:hyperlink>
      <w:r w:rsidR="000674D3">
        <w:t xml:space="preserve"> </w:t>
      </w:r>
      <w:r w:rsidR="00005A10" w:rsidRPr="00E33DDC">
        <w:t>compares the ratified and adjusted monitored PM</w:t>
      </w:r>
      <w:r w:rsidR="00005A10" w:rsidRPr="00E33DDC">
        <w:rPr>
          <w:vertAlign w:val="subscript"/>
        </w:rPr>
        <w:t>10</w:t>
      </w:r>
      <w:r w:rsidR="00005A10" w:rsidRPr="00E33DDC">
        <w:t xml:space="preserve"> annual mean concentrations for the past five years with the air quality objective of 40µg/m</w:t>
      </w:r>
      <w:r w:rsidR="00005A10" w:rsidRPr="00E33DDC">
        <w:rPr>
          <w:vertAlign w:val="superscript"/>
        </w:rPr>
        <w:t>3</w:t>
      </w:r>
      <w:r w:rsidR="00005A10" w:rsidRPr="00E33DDC">
        <w:t>.</w:t>
      </w:r>
      <w:r w:rsidR="00FE4583">
        <w:t xml:space="preserve"> </w:t>
      </w:r>
      <w:r w:rsidR="00B4756F">
        <w:t xml:space="preserve">There are no exceedances of the Air Quality Objective for annual mean at the </w:t>
      </w:r>
      <w:r w:rsidR="00313170">
        <w:t>two</w:t>
      </w:r>
      <w:r w:rsidR="00B4756F">
        <w:t xml:space="preserve"> continuous monitoring sites in South Tyneside.</w:t>
      </w:r>
    </w:p>
    <w:p w14:paraId="0DFE6596" w14:textId="14420A10" w:rsidR="00005A10" w:rsidRDefault="00216085" w:rsidP="006748E0">
      <w:pPr>
        <w:spacing w:before="0" w:after="0"/>
      </w:pPr>
      <w:r>
        <w:rPr>
          <w:color w:val="2B579A"/>
          <w:shd w:val="clear" w:color="auto" w:fill="E6E6E6"/>
        </w:rPr>
        <w:fldChar w:fldCharType="begin"/>
      </w:r>
      <w:r>
        <w:rPr>
          <w:color w:val="2B579A"/>
          <w:shd w:val="clear" w:color="auto" w:fill="E6E6E6"/>
        </w:rPr>
        <w:instrText xml:space="preserve"> REF _Ref63330501 \h </w:instrText>
      </w:r>
      <w:r w:rsidR="006748E0">
        <w:rPr>
          <w:color w:val="2B579A"/>
          <w:shd w:val="clear" w:color="auto" w:fill="E6E6E6"/>
        </w:rPr>
        <w:instrText xml:space="preserve"> \* MERGEFORMAT </w:instrText>
      </w:r>
      <w:r>
        <w:rPr>
          <w:color w:val="2B579A"/>
          <w:shd w:val="clear" w:color="auto" w:fill="E6E6E6"/>
        </w:rPr>
      </w:r>
      <w:r>
        <w:rPr>
          <w:color w:val="2B579A"/>
          <w:shd w:val="clear" w:color="auto" w:fill="E6E6E6"/>
        </w:rPr>
        <w:fldChar w:fldCharType="separate"/>
      </w:r>
      <w:r w:rsidR="0062374A">
        <w:t>Table A.</w:t>
      </w:r>
      <w:r w:rsidR="0062374A">
        <w:rPr>
          <w:noProof/>
        </w:rPr>
        <w:t>7</w:t>
      </w:r>
      <w:r>
        <w:rPr>
          <w:color w:val="2B579A"/>
          <w:shd w:val="clear" w:color="auto" w:fill="E6E6E6"/>
        </w:rPr>
        <w:fldChar w:fldCharType="end"/>
      </w:r>
      <w:r>
        <w:rPr>
          <w:color w:val="2B579A"/>
          <w:shd w:val="clear" w:color="auto" w:fill="E6E6E6"/>
        </w:rPr>
        <w:t xml:space="preserve"> </w:t>
      </w:r>
      <w:r w:rsidR="00005A10" w:rsidRPr="00E33DDC">
        <w:t xml:space="preserve">in </w:t>
      </w:r>
      <w:hyperlink w:anchor="_Appendix_A:_Monitoring" w:history="1">
        <w:r w:rsidR="00005A10" w:rsidRPr="00803D59">
          <w:t>Appendix A</w:t>
        </w:r>
      </w:hyperlink>
      <w:r w:rsidR="00005A10" w:rsidRPr="00E33DDC">
        <w:t xml:space="preserve"> compares the ratified continuous monitored PM</w:t>
      </w:r>
      <w:r w:rsidR="00005A10" w:rsidRPr="00E33DDC">
        <w:rPr>
          <w:vertAlign w:val="subscript"/>
        </w:rPr>
        <w:t>1</w:t>
      </w:r>
      <w:r w:rsidR="002048BE">
        <w:rPr>
          <w:vertAlign w:val="subscript"/>
        </w:rPr>
        <w:t>0</w:t>
      </w:r>
      <w:r w:rsidR="00005A10" w:rsidRPr="00E33DDC">
        <w:rPr>
          <w:vertAlign w:val="subscript"/>
        </w:rPr>
        <w:t xml:space="preserve"> </w:t>
      </w:r>
      <w:r w:rsidR="00005A10" w:rsidRPr="00E33DDC">
        <w:t>daily mean concentrations for the past five years with the air quality objective of 50µg/m</w:t>
      </w:r>
      <w:r w:rsidR="00005A10" w:rsidRPr="00E33DDC">
        <w:rPr>
          <w:vertAlign w:val="superscript"/>
        </w:rPr>
        <w:t>3</w:t>
      </w:r>
      <w:r w:rsidR="00005A10" w:rsidRPr="00E33DDC">
        <w:t>, not to be exceeded more than 35 times per year.</w:t>
      </w:r>
      <w:r w:rsidR="00B4756F">
        <w:t xml:space="preserve"> There are </w:t>
      </w:r>
      <w:r w:rsidR="00BE7720">
        <w:t xml:space="preserve">have been four </w:t>
      </w:r>
      <w:r w:rsidR="00B4756F">
        <w:t xml:space="preserve">exceedances of the Air Quality Objective for the </w:t>
      </w:r>
      <w:r w:rsidR="00BE7720">
        <w:t>daily mean at</w:t>
      </w:r>
      <w:r w:rsidR="00313170">
        <w:t xml:space="preserve"> the continuous monitoring station at Lindisfarne.</w:t>
      </w:r>
    </w:p>
    <w:p w14:paraId="4488C002" w14:textId="3C3B016B" w:rsidR="0048791B" w:rsidRDefault="00E50437" w:rsidP="006748E0">
      <w:pPr>
        <w:spacing w:before="0" w:after="0"/>
      </w:pPr>
      <w:r>
        <w:t xml:space="preserve">These instances occurred in </w:t>
      </w:r>
      <w:r w:rsidR="00744993">
        <w:t>November;</w:t>
      </w:r>
      <w:r>
        <w:t xml:space="preserve"> further investigation shows that regional </w:t>
      </w:r>
      <w:r w:rsidR="00F74A4C">
        <w:t>weather episodes were the cause of these peaks.</w:t>
      </w:r>
      <w:r w:rsidR="00D92E03">
        <w:t xml:space="preserve"> The graph below shows a </w:t>
      </w:r>
      <w:r w:rsidR="00A50D14">
        <w:t xml:space="preserve">comparison of a </w:t>
      </w:r>
      <w:r w:rsidR="00D92E03">
        <w:t>number of automatic stations in Tyne and Wear</w:t>
      </w:r>
    </w:p>
    <w:p w14:paraId="0E8AED03" w14:textId="77777777" w:rsidR="00C02B30" w:rsidRDefault="00C02B30" w:rsidP="006748E0">
      <w:pPr>
        <w:spacing w:before="0" w:after="0"/>
      </w:pPr>
    </w:p>
    <w:p w14:paraId="6BDAC5CF" w14:textId="42E398CD" w:rsidR="00744993" w:rsidRDefault="00744993" w:rsidP="00937370">
      <w:pPr>
        <w:spacing w:before="0" w:after="0"/>
        <w:jc w:val="center"/>
      </w:pPr>
      <w:r>
        <w:rPr>
          <w:noProof/>
        </w:rPr>
        <w:drawing>
          <wp:inline distT="0" distB="0" distL="0" distR="0" wp14:anchorId="3069BB07" wp14:editId="32C6B38A">
            <wp:extent cx="4953662" cy="3688963"/>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0396" t="12333" r="20924" b="9978"/>
                    <a:stretch/>
                  </pic:blipFill>
                  <pic:spPr bwMode="auto">
                    <a:xfrm>
                      <a:off x="0" y="0"/>
                      <a:ext cx="4988586" cy="3714971"/>
                    </a:xfrm>
                    <a:prstGeom prst="rect">
                      <a:avLst/>
                    </a:prstGeom>
                    <a:ln>
                      <a:noFill/>
                    </a:ln>
                    <a:extLst>
                      <a:ext uri="{53640926-AAD7-44D8-BBD7-CCE9431645EC}">
                        <a14:shadowObscured xmlns:a14="http://schemas.microsoft.com/office/drawing/2010/main"/>
                      </a:ext>
                    </a:extLst>
                  </pic:spPr>
                </pic:pic>
              </a:graphicData>
            </a:graphic>
          </wp:inline>
        </w:drawing>
      </w:r>
    </w:p>
    <w:p w14:paraId="738BD167" w14:textId="5B44B880" w:rsidR="00005A10" w:rsidRPr="00E33DDC" w:rsidRDefault="00937370" w:rsidP="00400B0F">
      <w:pPr>
        <w:pStyle w:val="Heading3"/>
      </w:pPr>
      <w:bookmarkStart w:id="55" w:name="_Toc75438386"/>
      <w:r>
        <w:t>P</w:t>
      </w:r>
      <w:r w:rsidR="00005A10" w:rsidRPr="00E33DDC">
        <w:t>articulate Matter (PM</w:t>
      </w:r>
      <w:r w:rsidR="00005A10" w:rsidRPr="00E33DDC">
        <w:rPr>
          <w:vertAlign w:val="subscript"/>
        </w:rPr>
        <w:t>2.5</w:t>
      </w:r>
      <w:r w:rsidR="00005A10" w:rsidRPr="00E33DDC">
        <w:t>)</w:t>
      </w:r>
      <w:bookmarkEnd w:id="55"/>
    </w:p>
    <w:p w14:paraId="55ED592C" w14:textId="04574527" w:rsidR="00005A10" w:rsidRDefault="00437E74" w:rsidP="00400B0F">
      <w:r>
        <w:rPr>
          <w:color w:val="2B579A"/>
          <w:shd w:val="clear" w:color="auto" w:fill="E6E6E6"/>
        </w:rPr>
        <w:fldChar w:fldCharType="begin"/>
      </w:r>
      <w:r>
        <w:rPr>
          <w:color w:val="2B579A"/>
          <w:shd w:val="clear" w:color="auto" w:fill="E6E6E6"/>
        </w:rPr>
        <w:instrText xml:space="preserve"> REF _Ref63330723 \h </w:instrText>
      </w:r>
      <w:r>
        <w:rPr>
          <w:color w:val="2B579A"/>
          <w:shd w:val="clear" w:color="auto" w:fill="E6E6E6"/>
        </w:rPr>
      </w:r>
      <w:r>
        <w:rPr>
          <w:color w:val="2B579A"/>
          <w:shd w:val="clear" w:color="auto" w:fill="E6E6E6"/>
        </w:rPr>
        <w:fldChar w:fldCharType="separate"/>
      </w:r>
      <w:r w:rsidR="0062374A">
        <w:t>Table A.</w:t>
      </w:r>
      <w:r w:rsidR="0062374A">
        <w:rPr>
          <w:noProof/>
        </w:rPr>
        <w:t>8</w:t>
      </w:r>
      <w:r>
        <w:rPr>
          <w:color w:val="2B579A"/>
          <w:shd w:val="clear" w:color="auto" w:fill="E6E6E6"/>
        </w:rPr>
        <w:fldChar w:fldCharType="end"/>
      </w:r>
      <w:r>
        <w:t xml:space="preserve"> </w:t>
      </w:r>
      <w:r w:rsidR="00005A10" w:rsidRPr="00E33DDC">
        <w:t xml:space="preserve">in </w:t>
      </w:r>
      <w:hyperlink w:anchor="_Appendix_A:_Monitoring" w:history="1">
        <w:r w:rsidR="008F1215" w:rsidRPr="0039383B">
          <w:t>Appendix A</w:t>
        </w:r>
      </w:hyperlink>
      <w:r w:rsidR="008F1215">
        <w:t xml:space="preserve"> </w:t>
      </w:r>
      <w:r w:rsidR="00005A10" w:rsidRPr="00E33DDC">
        <w:t>presents the ratified and adjusted monitored PM</w:t>
      </w:r>
      <w:r w:rsidR="00005A10" w:rsidRPr="00E33DDC">
        <w:rPr>
          <w:vertAlign w:val="subscript"/>
        </w:rPr>
        <w:t xml:space="preserve">2.5 </w:t>
      </w:r>
      <w:r w:rsidR="00005A10" w:rsidRPr="00E33DDC">
        <w:t>annual mean concentrations for the past five years.</w:t>
      </w:r>
    </w:p>
    <w:p w14:paraId="3D24E419" w14:textId="383AB2D9" w:rsidR="008F35DE" w:rsidRDefault="008F35DE" w:rsidP="008F35DE">
      <w:pPr>
        <w:pStyle w:val="Style1"/>
        <w:jc w:val="both"/>
      </w:pPr>
      <w:bookmarkStart w:id="56" w:name="_Toc445216663"/>
      <w:bookmarkStart w:id="57" w:name="_Toc37160918"/>
      <w:r>
        <w:t>Local authorities are not legally obliged to monitor PM</w:t>
      </w:r>
      <w:r>
        <w:rPr>
          <w:vertAlign w:val="subscript"/>
        </w:rPr>
        <w:t>2.5</w:t>
      </w:r>
      <w:r>
        <w:t>.  South Tyneside started to report on PM</w:t>
      </w:r>
      <w:r>
        <w:rPr>
          <w:vertAlign w:val="subscript"/>
        </w:rPr>
        <w:t xml:space="preserve">2.5 </w:t>
      </w:r>
      <w:r>
        <w:t>in 2016. As detailed in Policy Guidance LAQM.PG16 (Chapter 7) PM</w:t>
      </w:r>
      <w:r>
        <w:rPr>
          <w:vertAlign w:val="subscript"/>
        </w:rPr>
        <w:t xml:space="preserve">2.5 </w:t>
      </w:r>
      <w:r>
        <w:t>levels can be estimated from PM</w:t>
      </w:r>
      <w:r>
        <w:rPr>
          <w:vertAlign w:val="subscript"/>
        </w:rPr>
        <w:t>10</w:t>
      </w:r>
      <w:r>
        <w:t xml:space="preserve"> levels by using a nationally derived correction ratio of 0.7.  Table A.7 provides PM</w:t>
      </w:r>
      <w:r>
        <w:rPr>
          <w:vertAlign w:val="subscript"/>
        </w:rPr>
        <w:t xml:space="preserve">2.5 </w:t>
      </w:r>
      <w:r>
        <w:t>data converted using the correction ratio with PM</w:t>
      </w:r>
      <w:r>
        <w:rPr>
          <w:vertAlign w:val="subscript"/>
        </w:rPr>
        <w:t>10</w:t>
      </w:r>
      <w:r>
        <w:t xml:space="preserve"> data collected in 2020</w:t>
      </w:r>
    </w:p>
    <w:p w14:paraId="4B4F620E" w14:textId="3DC6FB9F" w:rsidR="008F35DE" w:rsidRDefault="008F35DE" w:rsidP="008F35DE">
      <w:pPr>
        <w:pStyle w:val="Style1"/>
        <w:jc w:val="both"/>
      </w:pPr>
      <w:r>
        <w:rPr>
          <w:noProof/>
        </w:rPr>
        <w:t>The last 5 years worth of monitoring shows that the PM</w:t>
      </w:r>
      <w:r>
        <w:rPr>
          <w:noProof/>
          <w:vertAlign w:val="subscript"/>
        </w:rPr>
        <w:t xml:space="preserve">2.5 </w:t>
      </w:r>
      <w:r>
        <w:rPr>
          <w:noProof/>
        </w:rPr>
        <w:t xml:space="preserve">has remained fairly constant and below that target value. </w:t>
      </w:r>
      <w:bookmarkEnd w:id="56"/>
      <w:bookmarkEnd w:id="57"/>
      <w:r w:rsidR="00D841CF">
        <w:rPr>
          <w:noProof/>
        </w:rPr>
        <w:t xml:space="preserve">There are no exceedances of the annual </w:t>
      </w:r>
      <w:r w:rsidR="00CE7CDE">
        <w:rPr>
          <w:noProof/>
        </w:rPr>
        <w:t xml:space="preserve">objective for </w:t>
      </w:r>
      <w:r w:rsidR="00CE7CDE">
        <w:t>PM</w:t>
      </w:r>
      <w:r w:rsidR="00CE7CDE">
        <w:rPr>
          <w:vertAlign w:val="subscript"/>
        </w:rPr>
        <w:t>2.5</w:t>
      </w:r>
    </w:p>
    <w:p w14:paraId="15C94346" w14:textId="77777777" w:rsidR="00005A10" w:rsidRDefault="00005A10" w:rsidP="00400B0F"/>
    <w:p w14:paraId="652682CF" w14:textId="77777777" w:rsidR="00005A10" w:rsidRDefault="00005A10" w:rsidP="0062374A">
      <w:pPr>
        <w:pStyle w:val="Heading2"/>
        <w:sectPr w:rsidR="00005A10" w:rsidSect="003172A5">
          <w:pgSz w:w="11899" w:h="16838" w:code="9"/>
          <w:pgMar w:top="1134" w:right="1134" w:bottom="1134" w:left="1134" w:header="340" w:footer="340" w:gutter="0"/>
          <w:cols w:space="708"/>
          <w:docGrid w:linePitch="326"/>
        </w:sectPr>
      </w:pPr>
    </w:p>
    <w:p w14:paraId="117529C0" w14:textId="2832FE7C" w:rsidR="00005A10" w:rsidRDefault="00005A10" w:rsidP="00400B0F">
      <w:pPr>
        <w:pStyle w:val="Heading1"/>
        <w:numPr>
          <w:ilvl w:val="0"/>
          <w:numId w:val="0"/>
        </w:numPr>
        <w:ind w:left="432" w:hanging="432"/>
      </w:pPr>
      <w:bookmarkStart w:id="58" w:name="_Appendix_A:_Monitoring"/>
      <w:bookmarkStart w:id="59" w:name="_Ref67663531"/>
      <w:bookmarkStart w:id="60" w:name="_Ref67663696"/>
      <w:bookmarkStart w:id="61" w:name="_Ref67663759"/>
      <w:bookmarkStart w:id="62" w:name="_Ref67663914"/>
      <w:bookmarkStart w:id="63" w:name="_Ref67664136"/>
      <w:bookmarkStart w:id="64" w:name="_Ref67664197"/>
      <w:bookmarkStart w:id="65" w:name="_Ref67664245"/>
      <w:bookmarkStart w:id="66" w:name="_Toc75438387"/>
      <w:bookmarkEnd w:id="58"/>
      <w:r>
        <w:t>Appendix A: Monitoring R</w:t>
      </w:r>
      <w:r w:rsidR="009F4BE2">
        <w:t>e</w:t>
      </w:r>
      <w:r>
        <w:t>sults</w:t>
      </w:r>
      <w:bookmarkEnd w:id="59"/>
      <w:bookmarkEnd w:id="60"/>
      <w:bookmarkEnd w:id="61"/>
      <w:bookmarkEnd w:id="62"/>
      <w:bookmarkEnd w:id="63"/>
      <w:bookmarkEnd w:id="64"/>
      <w:bookmarkEnd w:id="65"/>
      <w:bookmarkEnd w:id="66"/>
    </w:p>
    <w:p w14:paraId="56CF6977" w14:textId="79CA0F6C" w:rsidR="00005A10" w:rsidRDefault="00D8784A" w:rsidP="00400B0F">
      <w:pPr>
        <w:pStyle w:val="Caption"/>
      </w:pPr>
      <w:bookmarkStart w:id="67" w:name="_Ref55286241"/>
      <w:bookmarkStart w:id="68" w:name="_Toc74642722"/>
      <w:r>
        <w:t>Table A.</w:t>
      </w:r>
      <w:r w:rsidR="00742944">
        <w:rPr>
          <w:color w:val="2B579A"/>
          <w:shd w:val="clear" w:color="auto" w:fill="E6E6E6"/>
        </w:rPr>
        <w:fldChar w:fldCharType="begin"/>
      </w:r>
      <w:r w:rsidR="00742944">
        <w:rPr>
          <w:noProof/>
        </w:rPr>
        <w:instrText xml:space="preserve"> SEQ Table_A \* ARABIC </w:instrText>
      </w:r>
      <w:r w:rsidR="00742944">
        <w:rPr>
          <w:color w:val="2B579A"/>
          <w:shd w:val="clear" w:color="auto" w:fill="E6E6E6"/>
        </w:rPr>
        <w:fldChar w:fldCharType="separate"/>
      </w:r>
      <w:r w:rsidR="0062374A">
        <w:rPr>
          <w:noProof/>
        </w:rPr>
        <w:t>1</w:t>
      </w:r>
      <w:r w:rsidR="00742944">
        <w:rPr>
          <w:color w:val="2B579A"/>
          <w:shd w:val="clear" w:color="auto" w:fill="E6E6E6"/>
        </w:rPr>
        <w:fldChar w:fldCharType="end"/>
      </w:r>
      <w:bookmarkEnd w:id="67"/>
      <w:r>
        <w:t xml:space="preserve"> – Details of Automatic Monitoring Sites</w:t>
      </w:r>
      <w:bookmarkEnd w:id="68"/>
    </w:p>
    <w:tbl>
      <w:tblPr>
        <w:tblStyle w:val="TableStyle4"/>
        <w:tblW w:w="0" w:type="auto"/>
        <w:tblLook w:val="04A0" w:firstRow="1" w:lastRow="0" w:firstColumn="1" w:lastColumn="0" w:noHBand="0" w:noVBand="1"/>
      </w:tblPr>
      <w:tblGrid>
        <w:gridCol w:w="698"/>
        <w:gridCol w:w="2136"/>
        <w:gridCol w:w="1261"/>
        <w:gridCol w:w="1081"/>
        <w:gridCol w:w="1155"/>
        <w:gridCol w:w="1155"/>
        <w:gridCol w:w="1645"/>
        <w:gridCol w:w="2155"/>
        <w:gridCol w:w="1241"/>
        <w:gridCol w:w="1227"/>
        <w:gridCol w:w="806"/>
      </w:tblGrid>
      <w:tr w:rsidR="00D8784A" w:rsidRPr="00D8784A" w14:paraId="06ADFA32" w14:textId="77777777" w:rsidTr="003C2F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8" w:type="dxa"/>
          </w:tcPr>
          <w:p w14:paraId="6E0DD557" w14:textId="77777777" w:rsidR="00D8784A" w:rsidRPr="00D8784A" w:rsidRDefault="00D8784A" w:rsidP="00E665C2">
            <w:pPr>
              <w:spacing w:before="0" w:after="0" w:line="240" w:lineRule="auto"/>
              <w:rPr>
                <w:sz w:val="20"/>
              </w:rPr>
            </w:pPr>
            <w:r w:rsidRPr="00D8784A">
              <w:rPr>
                <w:sz w:val="20"/>
              </w:rPr>
              <w:t>Site ID</w:t>
            </w:r>
          </w:p>
        </w:tc>
        <w:tc>
          <w:tcPr>
            <w:tcW w:w="2136" w:type="dxa"/>
          </w:tcPr>
          <w:p w14:paraId="23BE6604" w14:textId="77777777" w:rsidR="00D8784A" w:rsidRPr="00D8784A" w:rsidRDefault="00D8784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rPr>
            </w:pPr>
            <w:r w:rsidRPr="00D8784A">
              <w:rPr>
                <w:sz w:val="20"/>
              </w:rPr>
              <w:t>Site Name</w:t>
            </w:r>
          </w:p>
        </w:tc>
        <w:tc>
          <w:tcPr>
            <w:tcW w:w="1261" w:type="dxa"/>
          </w:tcPr>
          <w:p w14:paraId="5A5C6139" w14:textId="77777777" w:rsidR="00D8784A" w:rsidRPr="00D8784A" w:rsidRDefault="00D8784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rPr>
            </w:pPr>
            <w:r w:rsidRPr="00D8784A">
              <w:rPr>
                <w:sz w:val="20"/>
              </w:rPr>
              <w:t>Site Type</w:t>
            </w:r>
          </w:p>
        </w:tc>
        <w:tc>
          <w:tcPr>
            <w:tcW w:w="1081" w:type="dxa"/>
          </w:tcPr>
          <w:p w14:paraId="250AA345" w14:textId="77777777" w:rsidR="00D8784A" w:rsidRPr="00D8784A" w:rsidRDefault="00D8784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rPr>
            </w:pPr>
            <w:r w:rsidRPr="00D8784A">
              <w:rPr>
                <w:sz w:val="20"/>
              </w:rPr>
              <w:t>X OS Grid Ref (Easting)</w:t>
            </w:r>
          </w:p>
        </w:tc>
        <w:tc>
          <w:tcPr>
            <w:tcW w:w="1155" w:type="dxa"/>
          </w:tcPr>
          <w:p w14:paraId="2426668F" w14:textId="77777777" w:rsidR="00D8784A" w:rsidRPr="00D8784A" w:rsidRDefault="00D8784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rPr>
            </w:pPr>
            <w:r w:rsidRPr="00D8784A">
              <w:rPr>
                <w:sz w:val="20"/>
              </w:rPr>
              <w:t>Y OS Grid Ref (Northing)</w:t>
            </w:r>
          </w:p>
        </w:tc>
        <w:tc>
          <w:tcPr>
            <w:tcW w:w="1155" w:type="dxa"/>
          </w:tcPr>
          <w:p w14:paraId="70394347" w14:textId="77777777" w:rsidR="00D8784A" w:rsidRPr="00D8784A" w:rsidRDefault="00D8784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rPr>
            </w:pPr>
            <w:r w:rsidRPr="00D8784A">
              <w:rPr>
                <w:sz w:val="20"/>
              </w:rPr>
              <w:t>Pollutants Monitored</w:t>
            </w:r>
          </w:p>
        </w:tc>
        <w:tc>
          <w:tcPr>
            <w:tcW w:w="1645" w:type="dxa"/>
          </w:tcPr>
          <w:p w14:paraId="60019CAB" w14:textId="77777777" w:rsidR="00886415" w:rsidRDefault="00D8784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rPr>
            </w:pPr>
            <w:r w:rsidRPr="00D8784A">
              <w:rPr>
                <w:sz w:val="20"/>
              </w:rPr>
              <w:t>In AQMA?</w:t>
            </w:r>
          </w:p>
          <w:p w14:paraId="5FD6F7FF" w14:textId="2E64A4C8" w:rsidR="00630BA3" w:rsidRPr="00886415" w:rsidRDefault="00630BA3"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rPr>
            </w:pPr>
            <w:r>
              <w:rPr>
                <w:sz w:val="20"/>
              </w:rPr>
              <w:t>Which AQMA?</w:t>
            </w:r>
          </w:p>
        </w:tc>
        <w:tc>
          <w:tcPr>
            <w:tcW w:w="2155" w:type="dxa"/>
          </w:tcPr>
          <w:p w14:paraId="54F4DF8E" w14:textId="77777777" w:rsidR="00D8784A" w:rsidRPr="00D8784A" w:rsidRDefault="00D8784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rPr>
            </w:pPr>
            <w:r w:rsidRPr="00D8784A">
              <w:rPr>
                <w:sz w:val="20"/>
              </w:rPr>
              <w:t>Monitoring Technique</w:t>
            </w:r>
          </w:p>
        </w:tc>
        <w:tc>
          <w:tcPr>
            <w:tcW w:w="1241" w:type="dxa"/>
          </w:tcPr>
          <w:p w14:paraId="51313655" w14:textId="77777777" w:rsidR="00D8784A" w:rsidRPr="00D8784A" w:rsidRDefault="00D8784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rPr>
            </w:pPr>
            <w:r w:rsidRPr="00D8784A">
              <w:rPr>
                <w:sz w:val="20"/>
              </w:rPr>
              <w:t xml:space="preserve">Distance to Relevant Exposure (m) </w:t>
            </w:r>
            <w:r w:rsidRPr="000D5BB6">
              <w:rPr>
                <w:sz w:val="20"/>
                <w:vertAlign w:val="superscript"/>
              </w:rPr>
              <w:t>(1)</w:t>
            </w:r>
          </w:p>
        </w:tc>
        <w:tc>
          <w:tcPr>
            <w:tcW w:w="1227" w:type="dxa"/>
          </w:tcPr>
          <w:p w14:paraId="67FE3C5C" w14:textId="77777777" w:rsidR="00D8784A" w:rsidRPr="00D8784A" w:rsidRDefault="00D8784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rPr>
            </w:pPr>
            <w:r w:rsidRPr="00D8784A">
              <w:rPr>
                <w:sz w:val="20"/>
              </w:rPr>
              <w:t xml:space="preserve">Distance to kerb of nearest road (m) </w:t>
            </w:r>
            <w:r w:rsidRPr="000D5BB6">
              <w:rPr>
                <w:sz w:val="20"/>
                <w:vertAlign w:val="superscript"/>
              </w:rPr>
              <w:t>(2)</w:t>
            </w:r>
          </w:p>
        </w:tc>
        <w:tc>
          <w:tcPr>
            <w:tcW w:w="806" w:type="dxa"/>
          </w:tcPr>
          <w:p w14:paraId="1F5E7B54" w14:textId="77777777" w:rsidR="00D8784A" w:rsidRPr="00D8784A" w:rsidRDefault="00D8784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rPr>
            </w:pPr>
            <w:r w:rsidRPr="00D8784A">
              <w:rPr>
                <w:sz w:val="20"/>
              </w:rPr>
              <w:t>Inlet Height (m)</w:t>
            </w:r>
          </w:p>
        </w:tc>
      </w:tr>
      <w:tr w:rsidR="003C2F35" w14:paraId="1801A1D8" w14:textId="77777777" w:rsidTr="003C2F35">
        <w:trPr>
          <w:trHeight w:val="330"/>
        </w:trPr>
        <w:tc>
          <w:tcPr>
            <w:cnfStyle w:val="001000000000" w:firstRow="0" w:lastRow="0" w:firstColumn="1" w:lastColumn="0" w:oddVBand="0" w:evenVBand="0" w:oddHBand="0" w:evenHBand="0" w:firstRowFirstColumn="0" w:firstRowLastColumn="0" w:lastRowFirstColumn="0" w:lastRowLastColumn="0"/>
            <w:tcW w:w="698" w:type="dxa"/>
            <w:hideMark/>
          </w:tcPr>
          <w:p w14:paraId="47F52232" w14:textId="77777777" w:rsidR="003C2F35" w:rsidRPr="003C2F35" w:rsidRDefault="003C2F35">
            <w:pPr>
              <w:rPr>
                <w:rFonts w:cs="Arial"/>
                <w:sz w:val="20"/>
                <w:szCs w:val="20"/>
                <w:lang w:eastAsia="en-GB"/>
              </w:rPr>
            </w:pPr>
            <w:r w:rsidRPr="003C2F35">
              <w:rPr>
                <w:rFonts w:cs="Arial"/>
                <w:sz w:val="20"/>
                <w:szCs w:val="20"/>
                <w:lang w:eastAsia="en-GB"/>
              </w:rPr>
              <w:t>CM1</w:t>
            </w:r>
          </w:p>
        </w:tc>
        <w:tc>
          <w:tcPr>
            <w:tcW w:w="2136" w:type="dxa"/>
            <w:hideMark/>
          </w:tcPr>
          <w:p w14:paraId="222DA0D9"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Boldon Lane, South Shields</w:t>
            </w:r>
          </w:p>
        </w:tc>
        <w:tc>
          <w:tcPr>
            <w:tcW w:w="1261" w:type="dxa"/>
            <w:hideMark/>
          </w:tcPr>
          <w:p w14:paraId="4B805FA6"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Roadside</w:t>
            </w:r>
          </w:p>
        </w:tc>
        <w:tc>
          <w:tcPr>
            <w:tcW w:w="1081" w:type="dxa"/>
            <w:hideMark/>
          </w:tcPr>
          <w:p w14:paraId="16E253B3"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435,949</w:t>
            </w:r>
          </w:p>
        </w:tc>
        <w:tc>
          <w:tcPr>
            <w:tcW w:w="1155" w:type="dxa"/>
            <w:hideMark/>
          </w:tcPr>
          <w:p w14:paraId="03B1BF31" w14:textId="2A990344"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564,4</w:t>
            </w:r>
            <w:r w:rsidR="006040C7">
              <w:rPr>
                <w:rFonts w:cs="Arial"/>
                <w:sz w:val="20"/>
                <w:szCs w:val="20"/>
                <w:lang w:eastAsia="en-GB"/>
              </w:rPr>
              <w:t>68</w:t>
            </w:r>
          </w:p>
        </w:tc>
        <w:tc>
          <w:tcPr>
            <w:tcW w:w="1155" w:type="dxa"/>
            <w:hideMark/>
          </w:tcPr>
          <w:p w14:paraId="55006103"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NO2</w:t>
            </w:r>
          </w:p>
        </w:tc>
        <w:tc>
          <w:tcPr>
            <w:tcW w:w="1645" w:type="dxa"/>
            <w:hideMark/>
          </w:tcPr>
          <w:p w14:paraId="0A96A25C"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YES (Boldon Lane/ Stanhope Road )</w:t>
            </w:r>
          </w:p>
        </w:tc>
        <w:tc>
          <w:tcPr>
            <w:tcW w:w="2155" w:type="dxa"/>
            <w:hideMark/>
          </w:tcPr>
          <w:p w14:paraId="4FDF56F9"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 xml:space="preserve">Chemiluminescent </w:t>
            </w:r>
          </w:p>
        </w:tc>
        <w:tc>
          <w:tcPr>
            <w:tcW w:w="1241" w:type="dxa"/>
            <w:hideMark/>
          </w:tcPr>
          <w:p w14:paraId="46186719"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15</w:t>
            </w:r>
          </w:p>
        </w:tc>
        <w:tc>
          <w:tcPr>
            <w:tcW w:w="1227" w:type="dxa"/>
            <w:hideMark/>
          </w:tcPr>
          <w:p w14:paraId="3137FF5A"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3</w:t>
            </w:r>
          </w:p>
        </w:tc>
        <w:tc>
          <w:tcPr>
            <w:tcW w:w="806" w:type="dxa"/>
            <w:hideMark/>
          </w:tcPr>
          <w:p w14:paraId="4C4BEE4B"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1.5</w:t>
            </w:r>
          </w:p>
        </w:tc>
      </w:tr>
      <w:tr w:rsidR="003C2F35" w14:paraId="3A13D6D3" w14:textId="77777777" w:rsidTr="003C2F35">
        <w:trPr>
          <w:trHeight w:val="330"/>
        </w:trPr>
        <w:tc>
          <w:tcPr>
            <w:cnfStyle w:val="001000000000" w:firstRow="0" w:lastRow="0" w:firstColumn="1" w:lastColumn="0" w:oddVBand="0" w:evenVBand="0" w:oddHBand="0" w:evenHBand="0" w:firstRowFirstColumn="0" w:firstRowLastColumn="0" w:lastRowFirstColumn="0" w:lastRowLastColumn="0"/>
            <w:tcW w:w="698" w:type="dxa"/>
            <w:hideMark/>
          </w:tcPr>
          <w:p w14:paraId="11AA92D8" w14:textId="77777777" w:rsidR="003C2F35" w:rsidRPr="003C2F35" w:rsidRDefault="003C2F35">
            <w:pPr>
              <w:rPr>
                <w:rFonts w:cs="Arial"/>
                <w:sz w:val="20"/>
                <w:szCs w:val="20"/>
                <w:lang w:eastAsia="en-GB"/>
              </w:rPr>
            </w:pPr>
            <w:r w:rsidRPr="003C2F35">
              <w:rPr>
                <w:rFonts w:cs="Arial"/>
                <w:sz w:val="20"/>
                <w:szCs w:val="20"/>
                <w:lang w:eastAsia="en-GB"/>
              </w:rPr>
              <w:t>CM2</w:t>
            </w:r>
          </w:p>
        </w:tc>
        <w:tc>
          <w:tcPr>
            <w:tcW w:w="2136" w:type="dxa"/>
            <w:hideMark/>
          </w:tcPr>
          <w:p w14:paraId="57D024DC"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Lindisfarne Roundabout, Jarrow</w:t>
            </w:r>
          </w:p>
        </w:tc>
        <w:tc>
          <w:tcPr>
            <w:tcW w:w="1261" w:type="dxa"/>
            <w:hideMark/>
          </w:tcPr>
          <w:p w14:paraId="6722F532"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Roadside</w:t>
            </w:r>
          </w:p>
        </w:tc>
        <w:tc>
          <w:tcPr>
            <w:tcW w:w="1081" w:type="dxa"/>
            <w:hideMark/>
          </w:tcPr>
          <w:p w14:paraId="432560DF"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434,068</w:t>
            </w:r>
          </w:p>
        </w:tc>
        <w:tc>
          <w:tcPr>
            <w:tcW w:w="1155" w:type="dxa"/>
            <w:hideMark/>
          </w:tcPr>
          <w:p w14:paraId="0C021F76"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563,695</w:t>
            </w:r>
          </w:p>
        </w:tc>
        <w:tc>
          <w:tcPr>
            <w:tcW w:w="1155" w:type="dxa"/>
            <w:hideMark/>
          </w:tcPr>
          <w:p w14:paraId="487D9A2E"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NO2; PM10</w:t>
            </w:r>
          </w:p>
        </w:tc>
        <w:tc>
          <w:tcPr>
            <w:tcW w:w="1645" w:type="dxa"/>
            <w:hideMark/>
          </w:tcPr>
          <w:p w14:paraId="1590A5EA"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YES (Lindisfarne Roundabout/ Leam Lane</w:t>
            </w:r>
          </w:p>
        </w:tc>
        <w:tc>
          <w:tcPr>
            <w:tcW w:w="2155" w:type="dxa"/>
            <w:hideMark/>
          </w:tcPr>
          <w:p w14:paraId="6939B542"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Chemiluminescent TEOM</w:t>
            </w:r>
          </w:p>
        </w:tc>
        <w:tc>
          <w:tcPr>
            <w:tcW w:w="1241" w:type="dxa"/>
            <w:hideMark/>
          </w:tcPr>
          <w:p w14:paraId="65EB881B"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27</w:t>
            </w:r>
          </w:p>
        </w:tc>
        <w:tc>
          <w:tcPr>
            <w:tcW w:w="1227" w:type="dxa"/>
            <w:hideMark/>
          </w:tcPr>
          <w:p w14:paraId="17D15990"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1</w:t>
            </w:r>
          </w:p>
        </w:tc>
        <w:tc>
          <w:tcPr>
            <w:tcW w:w="806" w:type="dxa"/>
            <w:hideMark/>
          </w:tcPr>
          <w:p w14:paraId="5565B66A"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2</w:t>
            </w:r>
          </w:p>
        </w:tc>
      </w:tr>
      <w:tr w:rsidR="003C2F35" w14:paraId="47ED68C4" w14:textId="77777777" w:rsidTr="003C2F35">
        <w:trPr>
          <w:trHeight w:val="330"/>
        </w:trPr>
        <w:tc>
          <w:tcPr>
            <w:cnfStyle w:val="001000000000" w:firstRow="0" w:lastRow="0" w:firstColumn="1" w:lastColumn="0" w:oddVBand="0" w:evenVBand="0" w:oddHBand="0" w:evenHBand="0" w:firstRowFirstColumn="0" w:firstRowLastColumn="0" w:lastRowFirstColumn="0" w:lastRowLastColumn="0"/>
            <w:tcW w:w="698" w:type="dxa"/>
            <w:hideMark/>
          </w:tcPr>
          <w:p w14:paraId="26254016" w14:textId="77777777" w:rsidR="003C2F35" w:rsidRPr="003C2F35" w:rsidRDefault="003C2F35">
            <w:pPr>
              <w:rPr>
                <w:rFonts w:cs="Arial"/>
                <w:sz w:val="20"/>
                <w:szCs w:val="20"/>
                <w:lang w:eastAsia="en-GB"/>
              </w:rPr>
            </w:pPr>
            <w:r w:rsidRPr="003C2F35">
              <w:rPr>
                <w:rFonts w:cs="Arial"/>
                <w:sz w:val="20"/>
                <w:szCs w:val="20"/>
                <w:lang w:eastAsia="en-GB"/>
              </w:rPr>
              <w:t>CM3</w:t>
            </w:r>
          </w:p>
        </w:tc>
        <w:tc>
          <w:tcPr>
            <w:tcW w:w="2136" w:type="dxa"/>
            <w:hideMark/>
          </w:tcPr>
          <w:p w14:paraId="7E1840E3"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Tyne Dock South Shields</w:t>
            </w:r>
          </w:p>
        </w:tc>
        <w:tc>
          <w:tcPr>
            <w:tcW w:w="1261" w:type="dxa"/>
            <w:hideMark/>
          </w:tcPr>
          <w:p w14:paraId="037E4DD0"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Roadside</w:t>
            </w:r>
          </w:p>
        </w:tc>
        <w:tc>
          <w:tcPr>
            <w:tcW w:w="1081" w:type="dxa"/>
            <w:hideMark/>
          </w:tcPr>
          <w:p w14:paraId="1F7BD618"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435,565</w:t>
            </w:r>
          </w:p>
        </w:tc>
        <w:tc>
          <w:tcPr>
            <w:tcW w:w="1155" w:type="dxa"/>
            <w:hideMark/>
          </w:tcPr>
          <w:p w14:paraId="6CD10CAA"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565,040</w:t>
            </w:r>
          </w:p>
        </w:tc>
        <w:tc>
          <w:tcPr>
            <w:tcW w:w="1155" w:type="dxa"/>
            <w:hideMark/>
          </w:tcPr>
          <w:p w14:paraId="2ADFCD92"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NO2; PM10</w:t>
            </w:r>
          </w:p>
        </w:tc>
        <w:tc>
          <w:tcPr>
            <w:tcW w:w="1645" w:type="dxa"/>
            <w:hideMark/>
          </w:tcPr>
          <w:p w14:paraId="66DE1E99" w14:textId="582FB95F"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Pr>
                <w:rFonts w:cs="Arial"/>
                <w:sz w:val="20"/>
                <w:szCs w:val="20"/>
                <w:lang w:eastAsia="en-GB"/>
              </w:rPr>
              <w:t>No</w:t>
            </w:r>
            <w:r w:rsidRPr="003C2F35">
              <w:rPr>
                <w:rFonts w:cs="Arial"/>
                <w:sz w:val="20"/>
                <w:szCs w:val="20"/>
                <w:lang w:eastAsia="en-GB"/>
              </w:rPr>
              <w:t> </w:t>
            </w:r>
          </w:p>
        </w:tc>
        <w:tc>
          <w:tcPr>
            <w:tcW w:w="2155" w:type="dxa"/>
            <w:hideMark/>
          </w:tcPr>
          <w:p w14:paraId="7248B523"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Chemiluminescent TEOM</w:t>
            </w:r>
          </w:p>
        </w:tc>
        <w:tc>
          <w:tcPr>
            <w:tcW w:w="1241" w:type="dxa"/>
            <w:hideMark/>
          </w:tcPr>
          <w:p w14:paraId="6A59EC95"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12</w:t>
            </w:r>
          </w:p>
        </w:tc>
        <w:tc>
          <w:tcPr>
            <w:tcW w:w="1227" w:type="dxa"/>
            <w:hideMark/>
          </w:tcPr>
          <w:p w14:paraId="16D60D7D"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14</w:t>
            </w:r>
          </w:p>
        </w:tc>
        <w:tc>
          <w:tcPr>
            <w:tcW w:w="806" w:type="dxa"/>
            <w:hideMark/>
          </w:tcPr>
          <w:p w14:paraId="2CD02377" w14:textId="77777777" w:rsidR="003C2F35" w:rsidRPr="003C2F35" w:rsidRDefault="003C2F35">
            <w:pPr>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3C2F35">
              <w:rPr>
                <w:rFonts w:cs="Arial"/>
                <w:sz w:val="20"/>
                <w:szCs w:val="20"/>
                <w:lang w:eastAsia="en-GB"/>
              </w:rPr>
              <w:t>2</w:t>
            </w:r>
          </w:p>
        </w:tc>
      </w:tr>
    </w:tbl>
    <w:p w14:paraId="27C2AFFB" w14:textId="160D0528" w:rsidR="00443B98" w:rsidRPr="00090C17" w:rsidRDefault="00443B98" w:rsidP="002A068B">
      <w:pPr>
        <w:spacing w:line="240" w:lineRule="auto"/>
        <w:rPr>
          <w:b/>
          <w:szCs w:val="24"/>
        </w:rPr>
      </w:pPr>
      <w:r w:rsidRPr="00090C17">
        <w:rPr>
          <w:b/>
          <w:szCs w:val="24"/>
        </w:rPr>
        <w:t>Notes:</w:t>
      </w:r>
    </w:p>
    <w:p w14:paraId="72E60047" w14:textId="77777777" w:rsidR="00443B98" w:rsidRPr="00090C17" w:rsidRDefault="00443B98" w:rsidP="002A068B">
      <w:pPr>
        <w:spacing w:line="240" w:lineRule="auto"/>
        <w:rPr>
          <w:szCs w:val="24"/>
        </w:rPr>
      </w:pPr>
      <w:r w:rsidRPr="00090C17">
        <w:rPr>
          <w:szCs w:val="24"/>
        </w:rPr>
        <w:t>(1) 0m if the monitoring site is at a location of exposure (e.g. installed on the façade of a residential property).</w:t>
      </w:r>
    </w:p>
    <w:p w14:paraId="7CA5AAA9" w14:textId="77777777" w:rsidR="00D8784A" w:rsidRDefault="00443B98" w:rsidP="002A068B">
      <w:pPr>
        <w:spacing w:line="240" w:lineRule="auto"/>
        <w:rPr>
          <w:szCs w:val="24"/>
        </w:rPr>
      </w:pPr>
      <w:r w:rsidRPr="00090C17">
        <w:rPr>
          <w:szCs w:val="24"/>
        </w:rPr>
        <w:t>(2) N/A if not applicable</w:t>
      </w:r>
    </w:p>
    <w:p w14:paraId="7A9113CC" w14:textId="77777777" w:rsidR="00443B98" w:rsidRDefault="00443B98" w:rsidP="00400B0F">
      <w:pPr>
        <w:spacing w:before="0" w:after="0"/>
      </w:pPr>
      <w:r>
        <w:br w:type="page"/>
      </w:r>
    </w:p>
    <w:p w14:paraId="6E607EA1" w14:textId="1575421A" w:rsidR="003E66B8" w:rsidRDefault="003E66B8">
      <w:pPr>
        <w:pStyle w:val="Caption"/>
      </w:pPr>
      <w:bookmarkStart w:id="69" w:name="_Ref66450518"/>
      <w:bookmarkStart w:id="70" w:name="_Toc74642723"/>
      <w:r>
        <w:t>Table A.</w:t>
      </w:r>
      <w:r>
        <w:rPr>
          <w:color w:val="2B579A"/>
          <w:shd w:val="clear" w:color="auto" w:fill="E6E6E6"/>
        </w:rPr>
        <w:fldChar w:fldCharType="begin"/>
      </w:r>
      <w:r>
        <w:rPr>
          <w:noProof/>
        </w:rPr>
        <w:instrText xml:space="preserve"> SEQ Table_A \* ARABIC </w:instrText>
      </w:r>
      <w:r>
        <w:rPr>
          <w:color w:val="2B579A"/>
          <w:shd w:val="clear" w:color="auto" w:fill="E6E6E6"/>
        </w:rPr>
        <w:fldChar w:fldCharType="separate"/>
      </w:r>
      <w:r w:rsidR="0062374A">
        <w:rPr>
          <w:noProof/>
        </w:rPr>
        <w:t>2</w:t>
      </w:r>
      <w:r>
        <w:rPr>
          <w:color w:val="2B579A"/>
          <w:shd w:val="clear" w:color="auto" w:fill="E6E6E6"/>
        </w:rPr>
        <w:fldChar w:fldCharType="end"/>
      </w:r>
      <w:bookmarkEnd w:id="69"/>
      <w:r>
        <w:t xml:space="preserve"> – </w:t>
      </w:r>
      <w:r w:rsidRPr="00443B98">
        <w:t>Details of</w:t>
      </w:r>
      <w:r>
        <w:t xml:space="preserve"> Non-</w:t>
      </w:r>
      <w:r w:rsidRPr="00443B98">
        <w:t>Automatic Monitoring Sites</w:t>
      </w:r>
      <w:bookmarkEnd w:id="70"/>
    </w:p>
    <w:tbl>
      <w:tblPr>
        <w:tblStyle w:val="TableStyle4"/>
        <w:tblW w:w="14693" w:type="dxa"/>
        <w:tblLook w:val="04A0" w:firstRow="1" w:lastRow="0" w:firstColumn="1" w:lastColumn="0" w:noHBand="0" w:noVBand="1"/>
      </w:tblPr>
      <w:tblGrid>
        <w:gridCol w:w="1275"/>
        <w:gridCol w:w="1714"/>
        <w:gridCol w:w="1248"/>
        <w:gridCol w:w="1400"/>
        <w:gridCol w:w="1409"/>
        <w:gridCol w:w="1334"/>
        <w:gridCol w:w="1151"/>
        <w:gridCol w:w="1326"/>
        <w:gridCol w:w="1241"/>
        <w:gridCol w:w="1577"/>
        <w:gridCol w:w="1018"/>
      </w:tblGrid>
      <w:tr w:rsidR="00EB14BA" w:rsidRPr="00347FD6" w14:paraId="30EA03D1" w14:textId="77777777" w:rsidTr="00EB14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5" w:type="dxa"/>
          </w:tcPr>
          <w:p w14:paraId="72406992" w14:textId="52B8EEAC" w:rsidR="00896B4C" w:rsidRPr="00347FD6" w:rsidRDefault="00896B4C" w:rsidP="00EC2D0A">
            <w:pPr>
              <w:spacing w:before="0" w:after="0" w:line="240" w:lineRule="auto"/>
              <w:rPr>
                <w:sz w:val="20"/>
                <w:szCs w:val="20"/>
              </w:rPr>
            </w:pPr>
            <w:r>
              <w:rPr>
                <w:sz w:val="20"/>
                <w:szCs w:val="20"/>
              </w:rPr>
              <w:t>Diffusion Tube</w:t>
            </w:r>
            <w:r w:rsidRPr="00347FD6">
              <w:rPr>
                <w:sz w:val="20"/>
                <w:szCs w:val="20"/>
              </w:rPr>
              <w:t xml:space="preserve"> ID</w:t>
            </w:r>
          </w:p>
        </w:tc>
        <w:tc>
          <w:tcPr>
            <w:tcW w:w="1714" w:type="dxa"/>
          </w:tcPr>
          <w:p w14:paraId="2C1EF47C"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Site Name</w:t>
            </w:r>
          </w:p>
        </w:tc>
        <w:tc>
          <w:tcPr>
            <w:tcW w:w="1248" w:type="dxa"/>
          </w:tcPr>
          <w:p w14:paraId="3A9608FF"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Site Type</w:t>
            </w:r>
          </w:p>
        </w:tc>
        <w:tc>
          <w:tcPr>
            <w:tcW w:w="1400" w:type="dxa"/>
          </w:tcPr>
          <w:p w14:paraId="28E3F136"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X OS Grid Ref (Easting)</w:t>
            </w:r>
          </w:p>
        </w:tc>
        <w:tc>
          <w:tcPr>
            <w:tcW w:w="1409" w:type="dxa"/>
          </w:tcPr>
          <w:p w14:paraId="4BA95E89"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Y OS Grid Ref (Northing)</w:t>
            </w:r>
          </w:p>
        </w:tc>
        <w:tc>
          <w:tcPr>
            <w:tcW w:w="1334" w:type="dxa"/>
          </w:tcPr>
          <w:p w14:paraId="7426D291" w14:textId="300AE17F"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Pollutants Monitored</w:t>
            </w:r>
          </w:p>
        </w:tc>
        <w:tc>
          <w:tcPr>
            <w:tcW w:w="1151" w:type="dxa"/>
          </w:tcPr>
          <w:p w14:paraId="01640252" w14:textId="25CE3DD5"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In AQMA?</w:t>
            </w:r>
            <w:r>
              <w:rPr>
                <w:sz w:val="20"/>
                <w:szCs w:val="20"/>
              </w:rPr>
              <w:t xml:space="preserve"> Which AQMA?</w:t>
            </w:r>
          </w:p>
        </w:tc>
        <w:tc>
          <w:tcPr>
            <w:tcW w:w="1326" w:type="dxa"/>
          </w:tcPr>
          <w:p w14:paraId="74B9A581" w14:textId="32BAA125" w:rsidR="00896B4C" w:rsidRPr="00347FD6" w:rsidRDefault="00896B4C" w:rsidP="006D007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Distance to Relevant Exposure (m)</w:t>
            </w:r>
            <w:r w:rsidRPr="00500820">
              <w:rPr>
                <w:color w:val="0000FF"/>
              </w:rPr>
              <w:t xml:space="preserve"> </w:t>
            </w:r>
            <w:r w:rsidRPr="00786EB7">
              <w:rPr>
                <w:sz w:val="20"/>
                <w:szCs w:val="20"/>
                <w:vertAlign w:val="superscript"/>
              </w:rPr>
              <w:t>(1)</w:t>
            </w:r>
          </w:p>
        </w:tc>
        <w:tc>
          <w:tcPr>
            <w:tcW w:w="1241" w:type="dxa"/>
          </w:tcPr>
          <w:p w14:paraId="110F3C08" w14:textId="77777777"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 xml:space="preserve">Distance to kerb of nearest road (m) </w:t>
            </w:r>
            <w:r w:rsidRPr="00786EB7">
              <w:rPr>
                <w:sz w:val="20"/>
                <w:szCs w:val="20"/>
                <w:vertAlign w:val="superscript"/>
              </w:rPr>
              <w:t>(2)</w:t>
            </w:r>
          </w:p>
        </w:tc>
        <w:tc>
          <w:tcPr>
            <w:tcW w:w="1577" w:type="dxa"/>
          </w:tcPr>
          <w:p w14:paraId="107EA8CB" w14:textId="71CFF97E"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 xml:space="preserve">Tube </w:t>
            </w:r>
            <w:r>
              <w:rPr>
                <w:sz w:val="20"/>
                <w:szCs w:val="20"/>
              </w:rPr>
              <w:t>C</w:t>
            </w:r>
            <w:r w:rsidRPr="00347FD6">
              <w:rPr>
                <w:sz w:val="20"/>
                <w:szCs w:val="20"/>
              </w:rPr>
              <w:t>o</w:t>
            </w:r>
            <w:r>
              <w:rPr>
                <w:sz w:val="20"/>
                <w:szCs w:val="20"/>
              </w:rPr>
              <w:t>-</w:t>
            </w:r>
            <w:r w:rsidRPr="00347FD6">
              <w:rPr>
                <w:sz w:val="20"/>
                <w:szCs w:val="20"/>
              </w:rPr>
              <w:t>located with a Continuous Analyser?</w:t>
            </w:r>
          </w:p>
        </w:tc>
        <w:tc>
          <w:tcPr>
            <w:tcW w:w="1018" w:type="dxa"/>
          </w:tcPr>
          <w:p w14:paraId="661E3BD3" w14:textId="77777777"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Tube Height (m)</w:t>
            </w:r>
          </w:p>
        </w:tc>
      </w:tr>
    </w:tbl>
    <w:tbl>
      <w:tblPr>
        <w:tblW w:w="14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293"/>
        <w:gridCol w:w="1721"/>
        <w:gridCol w:w="1231"/>
        <w:gridCol w:w="1383"/>
        <w:gridCol w:w="1405"/>
        <w:gridCol w:w="1377"/>
        <w:gridCol w:w="1096"/>
        <w:gridCol w:w="1343"/>
        <w:gridCol w:w="1275"/>
        <w:gridCol w:w="1550"/>
        <w:gridCol w:w="1046"/>
      </w:tblGrid>
      <w:tr w:rsidR="00CC1F3B" w:rsidRPr="001C15B2" w14:paraId="71D4DB39" w14:textId="77777777" w:rsidTr="00E460FF">
        <w:trPr>
          <w:trHeight w:val="1078"/>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7EAC854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3B8309D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Sunderland Road Jolly Sailor Whitburn</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2D1DEE9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70574DD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440,820</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6051AD9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561,821</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387D18C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322D4AF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0EA28F9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9.3</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0D6AAEB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1.7</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50BD00F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7DDBBC5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2.3</w:t>
            </w:r>
          </w:p>
        </w:tc>
      </w:tr>
      <w:tr w:rsidR="00CC1F3B" w:rsidRPr="001C15B2" w14:paraId="0F07DD33"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0DEB0B8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0D25EA3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Sunderland Road Cleadon</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02975EA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0418081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438,542</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28FBFE4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562,321</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6656CE0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2B2B219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30B3CE9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8.3</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7D08FD3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5CE75E6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331D886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2.65</w:t>
            </w:r>
          </w:p>
        </w:tc>
      </w:tr>
      <w:tr w:rsidR="00CC1F3B" w:rsidRPr="001C15B2" w14:paraId="35185A29"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3BBD9CF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DT3</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743B3C0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Front Street Cleadon Café</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1F7A5D9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34643DB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438,539</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04A1997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562,329</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46890BE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1299593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20000F0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0</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3D4CA7E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40D128A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33112DD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2.7</w:t>
            </w:r>
          </w:p>
        </w:tc>
      </w:tr>
      <w:tr w:rsidR="00CC1F3B" w:rsidRPr="001C15B2" w14:paraId="2D2D19A3"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0247B48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DT4</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13E6876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Station Road East Boldon</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0DE434E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06CEA09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437,053</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3FF49C4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561,418</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261CF3B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3FBE80B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0A5D6A3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3CBF8EA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1BCF6C2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7F7456A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6627A5A6"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363D5B7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DT5</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6AEA57C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Front Street / Grange Terrace</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3B36DAB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4272765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436,524</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3C323D0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561,275</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6E5CC89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7888B49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2F847CB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08B04D9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&lt;1</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6E9CA78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0AD345C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2.3</w:t>
            </w:r>
          </w:p>
        </w:tc>
      </w:tr>
      <w:tr w:rsidR="00CC1F3B" w:rsidRPr="001C15B2" w14:paraId="5353C32A"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1A0AB56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DT6</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27DE4A6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Front Street/ Boker Lane</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15D8E8F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3D6D671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436,021</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29192C7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561,368</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45CB607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263FA40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72842CE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11.5</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53BB98F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5EE94AD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36EA3DD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71051349"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4F72FC7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DT7</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094C7C1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Arnold Street</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564202F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3D78411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434,623</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496662F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561,746</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77EF02A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2746B77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5EF8F33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0</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0F97A4E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479D170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7089C98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484EC15E"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6AC1D03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DT8</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285E32E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Holland Park Drive (A19)</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40D304E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7A710FD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433,883</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5E790B0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562,644</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64A93BF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4B6F9CC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13DE2A6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0</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4D0E70E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30</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3E0E884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4E8E689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w:t>
            </w:r>
          </w:p>
        </w:tc>
      </w:tr>
      <w:tr w:rsidR="00CC1F3B" w:rsidRPr="001C15B2" w14:paraId="7007B4A6"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105D178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DT9</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5E5D655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Southlands (A19)</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4005DB1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3BB3512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433,739</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693C534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562,070</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4A53A10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0555B2B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43B68F5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19</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4DA4F90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40</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4CF2833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0EA1CB7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2.9</w:t>
            </w:r>
          </w:p>
        </w:tc>
      </w:tr>
      <w:tr w:rsidR="00CC1F3B" w:rsidRPr="001C15B2" w14:paraId="1C314E6A"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72AA406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DT10</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0874E80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Mill Lane/ A185 Junction</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07F5910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72C9C6D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430,469</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41DEAF6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563,040</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16FCC9C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7AD5C7A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765A701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068B3BB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28</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267F6E3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01B51D4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3409F320"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2A9A0AA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DT11</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7296B65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Victoria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1ADD875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3F9CD6F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430,538</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7EEF7F7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563,420</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44FA123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48995F9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3EF4B94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1.6</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4D74FD6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20</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1C2A817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25B536F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w:t>
            </w:r>
          </w:p>
        </w:tc>
      </w:tr>
      <w:tr w:rsidR="00CC1F3B" w:rsidRPr="001C15B2" w14:paraId="3F8812B9"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7CC0ED3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DT12</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1059219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Victoria Road West /South Street</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466B343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19BEF3F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430,587</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4DA1A68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563,671</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4D7EE03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176D516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57D90D6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3CE3DD3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9</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0CAB6F8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27E2B6B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w:t>
            </w:r>
          </w:p>
        </w:tc>
      </w:tr>
      <w:tr w:rsidR="00CC1F3B" w:rsidRPr="001C15B2" w14:paraId="56357CE9"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62431C4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DT13</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43A1685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Station Road Hebburn -PJ's Hairdressers</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222C146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10170AC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430,976</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5F066FC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564,378</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14FC0C0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24671CE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22CB822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0</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744D2EF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3.8</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5010A6C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29DB1EB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2.6</w:t>
            </w:r>
          </w:p>
        </w:tc>
      </w:tr>
      <w:tr w:rsidR="00CC1F3B" w:rsidRPr="001C15B2" w14:paraId="1A9DBE86"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5D05E63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DT14</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465D913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Victoria Road East - Junction with Park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0E98BE8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14D208D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432,169</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58A960F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564,962</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74F8D2A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08B6D12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68826F5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12.5</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6EF6B3A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&lt;1</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0956CCF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6202A5C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7A7496A7"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30A2D34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DT15</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718F1D6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Ellison Street roundabout - Pizza Addict</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1A6812D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25A7D03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432,676</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31ECCA5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565,443</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641A5F9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62D104D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07B434D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16.2</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275B78B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2.2</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7B33CEB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0D8D229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4E0E5736"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65C46D6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DT16</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3BA6795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Epinay Walk</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7C88CAE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26DDD04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433,093</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268BCFB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564,998</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5CAD7C5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0688316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31DB484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8</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4470B72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28</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332FAB4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46C9FD7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w:t>
            </w:r>
          </w:p>
        </w:tc>
      </w:tr>
      <w:tr w:rsidR="00CC1F3B" w:rsidRPr="001C15B2" w14:paraId="0A94C603"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1734924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DT17</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56DD6C1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Hadrian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0788793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199ED1B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433,658</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7CDFABF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563,497</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2BD64C0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572F5BB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4EDE7E0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4894D63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10EBAEE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3CA1144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1AD5BB04"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087D141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DT18</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4179912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Lindisfarne Road (55)</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6FC1446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6469093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433,698</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2C93640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563,825</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2D70A98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56252D4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6B462F2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10</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7E8C579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8</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6908328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7A86A78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649F7C5D"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14743B5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DT19</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4A14EC2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Hadrian Road / Finchale Terrace Junction</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1FB5019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7E0BD59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433,780</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270F430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563,692</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0F8C212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0DE1212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10C08C7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45D866E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13.5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19F15B7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5B4E444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w:t>
            </w:r>
          </w:p>
        </w:tc>
      </w:tr>
      <w:tr w:rsidR="00CC1F3B" w:rsidRPr="001C15B2" w14:paraId="6A0BF592"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5572EAA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DT20</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34A1E87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 xml:space="preserve">Edinburgh Road Monitoring Station </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425FA2C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69F470B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434,068</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61947D0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563,695</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188CAAD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6782D04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YES</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207CE2E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30</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721A5B3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&lt;1</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782B156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27E07C4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2.9</w:t>
            </w:r>
          </w:p>
        </w:tc>
      </w:tr>
      <w:tr w:rsidR="00CC1F3B" w:rsidRPr="001C15B2" w14:paraId="07DE156D"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67D8DD1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DT21</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05A5DF1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 xml:space="preserve">Edinburgh Road Monitoring Station </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476D6B1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4BB278D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434,068</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18D1E8D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563,695</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47DEE7D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4D71B5A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YES</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1E5242C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30</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54D96D5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&lt;1</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3445802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6951F2D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2.9</w:t>
            </w:r>
          </w:p>
        </w:tc>
      </w:tr>
      <w:tr w:rsidR="00CC1F3B" w:rsidRPr="001C15B2" w14:paraId="24ED109C"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6DE8989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DT22</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0F33AAB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 xml:space="preserve">Edinburgh Road Monitoring Station </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4C28BC5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51CE469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434,068</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7177321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563,695</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04CAC79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725807A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YES</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36299D8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30</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758D2F9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&lt;1</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44669A4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2F387BA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2.9</w:t>
            </w:r>
          </w:p>
        </w:tc>
      </w:tr>
      <w:tr w:rsidR="00CC1F3B" w:rsidRPr="001C15B2" w14:paraId="06677550"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35A3011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DT23</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496CE58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John Reid Road, Junction with Stirling Ave</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71AF668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70FC4E9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433,232</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1A60984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565,006</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06BFB5E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03B19F3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5036652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19.2</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51D2CD3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1.8</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1F17F7E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758EE80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2.85</w:t>
            </w:r>
          </w:p>
        </w:tc>
      </w:tr>
      <w:tr w:rsidR="00CC1F3B" w:rsidRPr="001C15B2" w14:paraId="7CFE92C7"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4A0C36C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DT24</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519E83C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Opposite 173 Hadrian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4931489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02B9F17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434,313</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32722A3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563,963</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60C9753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2BA2A08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18F594A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20542E7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58888C9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0986372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2.35</w:t>
            </w:r>
          </w:p>
        </w:tc>
      </w:tr>
      <w:tr w:rsidR="00CC1F3B" w:rsidRPr="001C15B2" w14:paraId="5A35AA3C"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4D51E4A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DT25</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59BE17B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Opposite 237 Newcastle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6CA085A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6534E82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434,402</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39BC1EA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563,976</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00F1B74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540FFB6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042B65A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32</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0FE7531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3.2</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386B85A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0FF2370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2.4</w:t>
            </w:r>
          </w:p>
        </w:tc>
      </w:tr>
      <w:tr w:rsidR="00CC1F3B" w:rsidRPr="001C15B2" w14:paraId="615DB49A"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57D09D7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DT26</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79356D4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Stanhope Road/ Newcastle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11AE9D4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72D48E1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434,303</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5F5D399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563,977</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1677394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76DD80C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2AA25BA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18</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31A2541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22</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3B816C1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6F1DB2B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4BDED036"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62E652A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DT27</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38FEDC2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A194 Arches Roundabout</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24501F6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30D09EF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435,330</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4E6F0B3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564,846</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150E6AF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652A56B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244E04F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15</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6021916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&lt;1</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02D4318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217CCD5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2.2</w:t>
            </w:r>
          </w:p>
        </w:tc>
      </w:tr>
      <w:tr w:rsidR="00CC1F3B" w:rsidRPr="001C15B2" w14:paraId="3A58A70F"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3DE6824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DT28</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4F20D5C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Commercial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39B51F8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74879D1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435,565</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11A3534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565,221</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41BE9A7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4837BE1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1D8528F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3.8</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1880673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11037AC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4D89CBB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2.6</w:t>
            </w:r>
          </w:p>
        </w:tc>
      </w:tr>
      <w:tr w:rsidR="00CC1F3B" w:rsidRPr="001C15B2" w14:paraId="743502E4"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760DCF2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DT29</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0AD0E9C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Corner of Boldon Lane/ Stanhope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0BA6473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05062E5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435,930</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592BBB8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564,600</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7DC53B2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127B013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YES</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13EB524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6.5</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45C16FA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28E6048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1B49AB1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2.4</w:t>
            </w:r>
          </w:p>
        </w:tc>
      </w:tr>
      <w:tr w:rsidR="00CC1F3B" w:rsidRPr="001C15B2" w14:paraId="7A544151"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30BCE2D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DT30</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5957D97A" w14:textId="5DD97D83"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Stanhope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1A3F091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7F4BB2A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435,980</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1611BCF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564,641</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4189F7D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64F6A75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YES</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657F589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6176E02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28828B6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332A56E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2AC203B9"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0D5AAE2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DT31</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6AD6B21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Boldon Lane</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497B7D4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218264D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435,965</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22624CB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564,329</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3026CBF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5B6AE23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2E75805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6CC98F6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1.7</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0B90322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35E1994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2.3</w:t>
            </w:r>
          </w:p>
        </w:tc>
      </w:tr>
      <w:tr w:rsidR="00CC1F3B" w:rsidRPr="001C15B2" w14:paraId="0069B1AA"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70159C4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DT32</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081877D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King George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2DB9D09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4C83084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437,438</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59E0FE6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564,391</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278BBBB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36ADF5B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4AB9105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38B52B7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13</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1951DEE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74E1403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0F28FE48"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71D16A0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DT33</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09DE3D6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Sunderland Road/ next to the Cranny</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2DE687F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7FFBBA2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437,816</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7720F0F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564,338</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45C9E1C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6CE6FD8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749948B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7</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378837B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7FCEB5E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38256F3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2.3</w:t>
            </w:r>
          </w:p>
        </w:tc>
      </w:tr>
      <w:tr w:rsidR="00CC1F3B" w:rsidRPr="001C15B2" w14:paraId="33887324"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32AFCD7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DT34</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1D697E9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Westoe Road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7329F0B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2B05A85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436,981</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1317695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565,906</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0432269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12FF813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6F0C04D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7</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3B21EC3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1F6EF00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7DFB7A1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2.35</w:t>
            </w:r>
          </w:p>
        </w:tc>
      </w:tr>
      <w:tr w:rsidR="00CC1F3B" w:rsidRPr="001C15B2" w14:paraId="0AFA0FAD"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14B6065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DT35</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261F194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Imeary Street/ The Glebe</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12192CB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6AD5D26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436,729</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27F5BCC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566,375</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1957951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4FFEECF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01D6A61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14</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22AF783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40A362A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570C392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2.7</w:t>
            </w:r>
          </w:p>
        </w:tc>
      </w:tr>
      <w:tr w:rsidR="00CC1F3B" w:rsidRPr="001C15B2" w14:paraId="60ECD224"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3638064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DT36</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1E55FF5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Chichester Metro</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6431071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47E8F0F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436,483</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4E70184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565,887</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3D5F532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0D04C07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0A58D79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18.9</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0D53C2C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&lt;1</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6165117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7D5C81C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2.25</w:t>
            </w:r>
          </w:p>
        </w:tc>
      </w:tr>
      <w:tr w:rsidR="00CC1F3B" w:rsidRPr="001C15B2" w14:paraId="6D70FE7A"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7846974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DT37</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4727583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Western Approach Laygate Flats</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4B6FF78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217866D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436,220</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230EFE2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566,620</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113A190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7CDE239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710824B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11.5</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607601D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2A322C5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61DCC4A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11B9FB61"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22DF76E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DT38</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71E2051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Alice Street (A194)</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06EA168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5D6F047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436,168</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070C529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565,875</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7EC9CF4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1F23031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1D3A205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&lt;1</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59F83A3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27</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22DD62A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221EC6B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7058B33B"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6474B04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DT40</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6B9A6C2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Anderson Street</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1E34EDE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6F96FAE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436,595</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0E2436C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567,298</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1E572A0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10F3C99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7389CCD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10</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08855C2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7F2C450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60607AE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5173BD1F"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15E0D62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DT41</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6D8513A6" w14:textId="5714345F"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Campell Park Roa</w:t>
            </w:r>
            <w:r w:rsidR="00EB14BA">
              <w:rPr>
                <w:rFonts w:cs="Arial"/>
                <w:sz w:val="20"/>
                <w:szCs w:val="20"/>
                <w:lang w:eastAsia="en-GB"/>
              </w:rPr>
              <w:t>d</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254FB3F4"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7DB759C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431,432</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7DFCF63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564,498</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6C7EC02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559E4AB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34A64C3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6AC7AB9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6.5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090F454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29E1AB4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08DB3372"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602B264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DT42</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7269423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West Park Roundabout</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4B1E4DE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649FCF5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436,370</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61E130F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565,000</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171F513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277B5F4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43031EC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69BFA48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7817EE1D"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4916C047"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13FA20F3"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5C51531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DT43</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36EE49F1"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Redhead Park</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6E97642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Kerbside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40EB63C6"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437,165</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215F70C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565,576</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657677E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0CE3C60C"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19317302"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10</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1915D37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755F525A"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64E72EC5"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r w:rsidR="00CC1F3B" w:rsidRPr="001C15B2" w14:paraId="58A9729D" w14:textId="77777777" w:rsidTr="00D41778">
        <w:trPr>
          <w:trHeight w:val="330"/>
        </w:trPr>
        <w:tc>
          <w:tcPr>
            <w:tcW w:w="1293" w:type="dxa"/>
            <w:tcBorders>
              <w:top w:val="single" w:sz="8" w:space="0" w:color="000000"/>
              <w:left w:val="single" w:sz="8" w:space="0" w:color="000000"/>
              <w:bottom w:val="single" w:sz="8" w:space="0" w:color="000000"/>
              <w:right w:val="single" w:sz="8" w:space="0" w:color="000000"/>
            </w:tcBorders>
            <w:shd w:val="clear" w:color="auto" w:fill="CBE9D3"/>
            <w:vAlign w:val="center"/>
            <w:hideMark/>
          </w:tcPr>
          <w:p w14:paraId="7DCEB48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DT44</w:t>
            </w:r>
          </w:p>
        </w:tc>
        <w:tc>
          <w:tcPr>
            <w:tcW w:w="1721" w:type="dxa"/>
            <w:tcBorders>
              <w:top w:val="single" w:sz="8" w:space="0" w:color="000000"/>
              <w:left w:val="single" w:sz="8" w:space="0" w:color="000000"/>
              <w:bottom w:val="single" w:sz="8" w:space="0" w:color="000000"/>
              <w:right w:val="single" w:sz="8" w:space="0" w:color="000000"/>
            </w:tcBorders>
            <w:vAlign w:val="center"/>
            <w:hideMark/>
          </w:tcPr>
          <w:p w14:paraId="7DF0D6B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Imeary Street</w:t>
            </w:r>
          </w:p>
        </w:tc>
        <w:tc>
          <w:tcPr>
            <w:tcW w:w="1231" w:type="dxa"/>
            <w:tcBorders>
              <w:top w:val="single" w:sz="8" w:space="0" w:color="000000"/>
              <w:left w:val="single" w:sz="8" w:space="0" w:color="000000"/>
              <w:bottom w:val="single" w:sz="8" w:space="0" w:color="000000"/>
              <w:right w:val="single" w:sz="8" w:space="0" w:color="000000"/>
            </w:tcBorders>
            <w:vAlign w:val="center"/>
            <w:hideMark/>
          </w:tcPr>
          <w:p w14:paraId="1B6925E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Roadside</w:t>
            </w:r>
          </w:p>
        </w:tc>
        <w:tc>
          <w:tcPr>
            <w:tcW w:w="1383" w:type="dxa"/>
            <w:tcBorders>
              <w:top w:val="single" w:sz="8" w:space="0" w:color="000000"/>
              <w:left w:val="single" w:sz="8" w:space="0" w:color="000000"/>
              <w:bottom w:val="single" w:sz="8" w:space="0" w:color="000000"/>
              <w:right w:val="single" w:sz="8" w:space="0" w:color="000000"/>
            </w:tcBorders>
            <w:vAlign w:val="center"/>
            <w:hideMark/>
          </w:tcPr>
          <w:p w14:paraId="2BE10F60"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436,923</w:t>
            </w:r>
          </w:p>
        </w:tc>
        <w:tc>
          <w:tcPr>
            <w:tcW w:w="1405" w:type="dxa"/>
            <w:tcBorders>
              <w:top w:val="single" w:sz="8" w:space="0" w:color="000000"/>
              <w:left w:val="single" w:sz="8" w:space="0" w:color="000000"/>
              <w:bottom w:val="single" w:sz="8" w:space="0" w:color="000000"/>
              <w:right w:val="single" w:sz="8" w:space="0" w:color="000000"/>
            </w:tcBorders>
            <w:vAlign w:val="center"/>
            <w:hideMark/>
          </w:tcPr>
          <w:p w14:paraId="7417AFA3"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565,966</w:t>
            </w:r>
          </w:p>
        </w:tc>
        <w:tc>
          <w:tcPr>
            <w:tcW w:w="1377" w:type="dxa"/>
            <w:tcBorders>
              <w:top w:val="single" w:sz="8" w:space="0" w:color="000000"/>
              <w:left w:val="single" w:sz="8" w:space="0" w:color="000000"/>
              <w:bottom w:val="single" w:sz="8" w:space="0" w:color="000000"/>
              <w:right w:val="single" w:sz="8" w:space="0" w:color="000000"/>
            </w:tcBorders>
            <w:vAlign w:val="center"/>
            <w:hideMark/>
          </w:tcPr>
          <w:p w14:paraId="4BB9F14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NO2</w:t>
            </w:r>
          </w:p>
        </w:tc>
        <w:tc>
          <w:tcPr>
            <w:tcW w:w="1096" w:type="dxa"/>
            <w:tcBorders>
              <w:top w:val="single" w:sz="8" w:space="0" w:color="000000"/>
              <w:left w:val="single" w:sz="8" w:space="0" w:color="000000"/>
              <w:bottom w:val="single" w:sz="8" w:space="0" w:color="000000"/>
              <w:right w:val="single" w:sz="8" w:space="0" w:color="000000"/>
            </w:tcBorders>
            <w:vAlign w:val="center"/>
            <w:hideMark/>
          </w:tcPr>
          <w:p w14:paraId="376A34BE"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343" w:type="dxa"/>
            <w:tcBorders>
              <w:top w:val="single" w:sz="8" w:space="0" w:color="000000"/>
              <w:left w:val="single" w:sz="8" w:space="0" w:color="000000"/>
              <w:bottom w:val="single" w:sz="8" w:space="0" w:color="000000"/>
              <w:right w:val="single" w:sz="8" w:space="0" w:color="000000"/>
            </w:tcBorders>
            <w:vAlign w:val="center"/>
            <w:hideMark/>
          </w:tcPr>
          <w:p w14:paraId="007631D9"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&lt;1</w:t>
            </w:r>
          </w:p>
        </w:tc>
        <w:tc>
          <w:tcPr>
            <w:tcW w:w="1275" w:type="dxa"/>
            <w:tcBorders>
              <w:top w:val="single" w:sz="8" w:space="0" w:color="000000"/>
              <w:left w:val="single" w:sz="8" w:space="0" w:color="000000"/>
              <w:bottom w:val="single" w:sz="8" w:space="0" w:color="000000"/>
              <w:right w:val="single" w:sz="8" w:space="0" w:color="000000"/>
            </w:tcBorders>
            <w:vAlign w:val="center"/>
            <w:hideMark/>
          </w:tcPr>
          <w:p w14:paraId="5162F69F"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w:t>
            </w:r>
          </w:p>
        </w:tc>
        <w:tc>
          <w:tcPr>
            <w:tcW w:w="1550" w:type="dxa"/>
            <w:tcBorders>
              <w:top w:val="single" w:sz="8" w:space="0" w:color="000000"/>
              <w:left w:val="single" w:sz="8" w:space="0" w:color="000000"/>
              <w:bottom w:val="single" w:sz="8" w:space="0" w:color="000000"/>
              <w:right w:val="single" w:sz="8" w:space="0" w:color="000000"/>
            </w:tcBorders>
            <w:vAlign w:val="center"/>
            <w:hideMark/>
          </w:tcPr>
          <w:p w14:paraId="5C9C12B8"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NO</w:t>
            </w:r>
          </w:p>
        </w:tc>
        <w:tc>
          <w:tcPr>
            <w:tcW w:w="1046" w:type="dxa"/>
            <w:tcBorders>
              <w:top w:val="single" w:sz="8" w:space="0" w:color="000000"/>
              <w:left w:val="single" w:sz="8" w:space="0" w:color="000000"/>
              <w:bottom w:val="single" w:sz="8" w:space="0" w:color="000000"/>
              <w:right w:val="single" w:sz="8" w:space="0" w:color="000000"/>
            </w:tcBorders>
            <w:vAlign w:val="center"/>
            <w:hideMark/>
          </w:tcPr>
          <w:p w14:paraId="6A8703CB" w14:textId="77777777" w:rsidR="00CC1F3B" w:rsidRPr="001C15B2" w:rsidRDefault="00CC1F3B" w:rsidP="00672A19">
            <w:pPr>
              <w:spacing w:before="0" w:after="0" w:line="240" w:lineRule="auto"/>
              <w:jc w:val="center"/>
              <w:rPr>
                <w:rFonts w:cs="Arial"/>
                <w:sz w:val="20"/>
                <w:szCs w:val="20"/>
                <w:lang w:eastAsia="en-GB"/>
              </w:rPr>
            </w:pPr>
            <w:r w:rsidRPr="001C15B2">
              <w:rPr>
                <w:rFonts w:cs="Arial"/>
                <w:sz w:val="20"/>
                <w:szCs w:val="20"/>
                <w:lang w:eastAsia="en-GB"/>
              </w:rPr>
              <w:t>2.5</w:t>
            </w:r>
          </w:p>
        </w:tc>
      </w:tr>
    </w:tbl>
    <w:p w14:paraId="135F3D8E" w14:textId="2184C052" w:rsidR="00443B98" w:rsidRPr="00090C17" w:rsidRDefault="00443B98" w:rsidP="002A068B">
      <w:pPr>
        <w:spacing w:line="240" w:lineRule="auto"/>
        <w:rPr>
          <w:b/>
          <w:szCs w:val="24"/>
        </w:rPr>
      </w:pPr>
      <w:r w:rsidRPr="00090C17">
        <w:rPr>
          <w:b/>
          <w:szCs w:val="24"/>
        </w:rPr>
        <w:t>Notes:</w:t>
      </w:r>
    </w:p>
    <w:p w14:paraId="47C92DE1" w14:textId="77777777" w:rsidR="00443B98" w:rsidRPr="00090C17" w:rsidRDefault="00443B98" w:rsidP="002A068B">
      <w:pPr>
        <w:spacing w:line="240" w:lineRule="auto"/>
        <w:rPr>
          <w:szCs w:val="24"/>
        </w:rPr>
      </w:pPr>
      <w:r w:rsidRPr="00090C17">
        <w:rPr>
          <w:szCs w:val="24"/>
        </w:rPr>
        <w:t>(1) 0m if the monitoring site is at a location of exposure (e.g. installed on the façade of a residential property).</w:t>
      </w:r>
    </w:p>
    <w:p w14:paraId="0BF1DA8C" w14:textId="77777777" w:rsidR="00D8784A" w:rsidRDefault="00443B98" w:rsidP="002A068B">
      <w:pPr>
        <w:spacing w:line="240" w:lineRule="auto"/>
        <w:rPr>
          <w:szCs w:val="24"/>
        </w:rPr>
      </w:pPr>
      <w:r w:rsidRPr="00090C17">
        <w:rPr>
          <w:szCs w:val="24"/>
        </w:rPr>
        <w:t>(2) N/A if not applicable.</w:t>
      </w:r>
    </w:p>
    <w:p w14:paraId="5859DD1D" w14:textId="77777777" w:rsidR="00443B98" w:rsidRDefault="00443B98" w:rsidP="00400B0F">
      <w:pPr>
        <w:spacing w:before="0" w:after="0"/>
      </w:pPr>
      <w:r>
        <w:br w:type="page"/>
      </w:r>
    </w:p>
    <w:p w14:paraId="16DB8AD8" w14:textId="62DEB0A8" w:rsidR="006078E8" w:rsidRDefault="006078E8" w:rsidP="006078E8">
      <w:pPr>
        <w:pStyle w:val="Caption"/>
        <w:rPr>
          <w:rFonts w:cs="Arial"/>
          <w:szCs w:val="24"/>
        </w:rPr>
      </w:pPr>
      <w:bookmarkStart w:id="71" w:name="_Ref65700500"/>
      <w:bookmarkStart w:id="72" w:name="_Toc74642724"/>
      <w:bookmarkStart w:id="73" w:name="_Ref55286377"/>
      <w:r>
        <w:t>Table A.</w:t>
      </w:r>
      <w:r>
        <w:fldChar w:fldCharType="begin"/>
      </w:r>
      <w:r>
        <w:instrText>SEQ Table_A \* ARABIC</w:instrText>
      </w:r>
      <w:r>
        <w:fldChar w:fldCharType="separate"/>
      </w:r>
      <w:r w:rsidR="0062374A">
        <w:rPr>
          <w:noProof/>
        </w:rPr>
        <w:t>3</w:t>
      </w:r>
      <w:r>
        <w:fldChar w:fldCharType="end"/>
      </w:r>
      <w:bookmarkEnd w:id="71"/>
      <w:r>
        <w:t xml:space="preserve"> – </w:t>
      </w:r>
      <w:r w:rsidRPr="008603A5">
        <w:t>Annual Mean NO</w:t>
      </w:r>
      <w:r w:rsidRPr="008603A5">
        <w:rPr>
          <w:vertAlign w:val="subscript"/>
        </w:rPr>
        <w:t>2</w:t>
      </w:r>
      <w:r w:rsidRPr="008603A5">
        <w:t xml:space="preserve"> </w:t>
      </w:r>
      <w:r w:rsidRPr="00786EB7">
        <w:rPr>
          <w:szCs w:val="24"/>
        </w:rPr>
        <w:t>Monitoring Results</w:t>
      </w:r>
      <w:r>
        <w:rPr>
          <w:szCs w:val="24"/>
        </w:rPr>
        <w:t>: Automatic Monitoring</w:t>
      </w:r>
      <w:r w:rsidRPr="00786EB7">
        <w:rPr>
          <w:szCs w:val="24"/>
        </w:rPr>
        <w:t xml:space="preserve"> (</w:t>
      </w:r>
      <w:r w:rsidRPr="00786EB7">
        <w:rPr>
          <w:rFonts w:cs="Arial"/>
          <w:szCs w:val="24"/>
        </w:rPr>
        <w:t>µg/m</w:t>
      </w:r>
      <w:r w:rsidRPr="00786EB7">
        <w:rPr>
          <w:rFonts w:cs="Arial"/>
          <w:szCs w:val="24"/>
          <w:vertAlign w:val="superscript"/>
        </w:rPr>
        <w:t>3</w:t>
      </w:r>
      <w:r w:rsidRPr="00786EB7">
        <w:rPr>
          <w:rFonts w:cs="Arial"/>
          <w:szCs w:val="24"/>
        </w:rPr>
        <w:t>)</w:t>
      </w:r>
      <w:bookmarkEnd w:id="72"/>
    </w:p>
    <w:tbl>
      <w:tblPr>
        <w:tblStyle w:val="TableStyle4"/>
        <w:tblW w:w="5002" w:type="pct"/>
        <w:tblLook w:val="04A0" w:firstRow="1" w:lastRow="0" w:firstColumn="1" w:lastColumn="0" w:noHBand="0" w:noVBand="1"/>
      </w:tblPr>
      <w:tblGrid>
        <w:gridCol w:w="1130"/>
        <w:gridCol w:w="1346"/>
        <w:gridCol w:w="1349"/>
        <w:gridCol w:w="1987"/>
        <w:gridCol w:w="2127"/>
        <w:gridCol w:w="2130"/>
        <w:gridCol w:w="900"/>
        <w:gridCol w:w="900"/>
        <w:gridCol w:w="900"/>
        <w:gridCol w:w="900"/>
        <w:gridCol w:w="897"/>
      </w:tblGrid>
      <w:tr w:rsidR="00684B45" w:rsidRPr="00116356" w14:paraId="7ADA0759" w14:textId="77777777" w:rsidTr="00C200B4">
        <w:trPr>
          <w:cnfStyle w:val="100000000000" w:firstRow="1" w:lastRow="0" w:firstColumn="0" w:lastColumn="0" w:oddVBand="0" w:evenVBand="0" w:oddHBand="0" w:evenHBand="0" w:firstRowFirstColumn="0" w:firstRowLastColumn="0" w:lastRowFirstColumn="0" w:lastRowLastColumn="0"/>
          <w:trHeight w:val="410"/>
          <w:tblHeader/>
        </w:trPr>
        <w:tc>
          <w:tcPr>
            <w:cnfStyle w:val="001000000000" w:firstRow="0" w:lastRow="0" w:firstColumn="1" w:lastColumn="0" w:oddVBand="0" w:evenVBand="0" w:oddHBand="0" w:evenHBand="0" w:firstRowFirstColumn="0" w:firstRowLastColumn="0" w:lastRowFirstColumn="0" w:lastRowLastColumn="0"/>
            <w:tcW w:w="388" w:type="pct"/>
          </w:tcPr>
          <w:p w14:paraId="77AE9EDF" w14:textId="77777777" w:rsidR="00523FBC" w:rsidRPr="00116356" w:rsidRDefault="00523FBC" w:rsidP="00855CBD">
            <w:pPr>
              <w:spacing w:before="0" w:after="0" w:line="240" w:lineRule="auto"/>
              <w:rPr>
                <w:rFonts w:ascii="Arial" w:hAnsi="Arial" w:cs="Arial"/>
                <w:sz w:val="20"/>
                <w:szCs w:val="20"/>
              </w:rPr>
            </w:pPr>
            <w:r w:rsidRPr="00116356">
              <w:rPr>
                <w:rFonts w:ascii="Arial" w:hAnsi="Arial" w:cs="Arial"/>
                <w:sz w:val="20"/>
                <w:szCs w:val="20"/>
              </w:rPr>
              <w:t>Site ID</w:t>
            </w:r>
          </w:p>
        </w:tc>
        <w:tc>
          <w:tcPr>
            <w:tcW w:w="462" w:type="pct"/>
          </w:tcPr>
          <w:p w14:paraId="0111CC6C" w14:textId="77777777" w:rsidR="00523FBC" w:rsidRPr="00116356" w:rsidRDefault="00523FBC" w:rsidP="00855CBD">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X OS Grid Ref (Easting)</w:t>
            </w:r>
          </w:p>
        </w:tc>
        <w:tc>
          <w:tcPr>
            <w:tcW w:w="463" w:type="pct"/>
          </w:tcPr>
          <w:p w14:paraId="22DC0502" w14:textId="77777777" w:rsidR="00523FBC" w:rsidRPr="00116356" w:rsidRDefault="00523FBC" w:rsidP="00855CBD">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Y OS Grid Ref (Northing)</w:t>
            </w:r>
          </w:p>
        </w:tc>
        <w:tc>
          <w:tcPr>
            <w:tcW w:w="682" w:type="pct"/>
          </w:tcPr>
          <w:p w14:paraId="6DB8D2ED" w14:textId="77777777" w:rsidR="00523FBC" w:rsidRPr="00116356" w:rsidRDefault="00523FBC" w:rsidP="00855CBD">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Site Type</w:t>
            </w:r>
          </w:p>
        </w:tc>
        <w:tc>
          <w:tcPr>
            <w:tcW w:w="730" w:type="pct"/>
          </w:tcPr>
          <w:p w14:paraId="723CF272" w14:textId="77777777" w:rsidR="00523FBC" w:rsidRPr="00116356" w:rsidRDefault="00523FBC" w:rsidP="00855CBD">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 xml:space="preserve">Valid Data Capture for Monitoring Period (%) </w:t>
            </w:r>
            <w:r w:rsidRPr="00E1160B">
              <w:rPr>
                <w:rFonts w:ascii="Arial" w:hAnsi="Arial" w:cs="Arial"/>
                <w:sz w:val="20"/>
                <w:szCs w:val="20"/>
                <w:vertAlign w:val="superscript"/>
              </w:rPr>
              <w:t>(1)</w:t>
            </w:r>
          </w:p>
        </w:tc>
        <w:tc>
          <w:tcPr>
            <w:tcW w:w="731" w:type="pct"/>
          </w:tcPr>
          <w:p w14:paraId="272DF44E" w14:textId="77777777" w:rsidR="00523FBC" w:rsidRPr="00116356" w:rsidRDefault="00523FBC" w:rsidP="00855CBD">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Valid Data Capture 20</w:t>
            </w:r>
            <w:r>
              <w:rPr>
                <w:rFonts w:ascii="Arial" w:hAnsi="Arial" w:cs="Arial"/>
                <w:sz w:val="20"/>
                <w:szCs w:val="20"/>
              </w:rPr>
              <w:t>20</w:t>
            </w:r>
            <w:r w:rsidRPr="00116356">
              <w:rPr>
                <w:rFonts w:ascii="Arial" w:hAnsi="Arial" w:cs="Arial"/>
                <w:sz w:val="20"/>
                <w:szCs w:val="20"/>
              </w:rPr>
              <w:t xml:space="preserve"> (%) </w:t>
            </w:r>
            <w:r w:rsidRPr="00E1160B">
              <w:rPr>
                <w:rFonts w:ascii="Arial" w:hAnsi="Arial" w:cs="Arial"/>
                <w:sz w:val="20"/>
                <w:szCs w:val="20"/>
                <w:vertAlign w:val="superscript"/>
              </w:rPr>
              <w:t>(2)</w:t>
            </w:r>
          </w:p>
        </w:tc>
        <w:tc>
          <w:tcPr>
            <w:tcW w:w="309" w:type="pct"/>
          </w:tcPr>
          <w:p w14:paraId="2902159A" w14:textId="77777777" w:rsidR="00523FBC" w:rsidRPr="00090C17" w:rsidRDefault="00523FBC" w:rsidP="00855CBD">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116356">
              <w:rPr>
                <w:rFonts w:cs="Arial"/>
                <w:b w:val="0"/>
                <w:sz w:val="20"/>
                <w:szCs w:val="20"/>
              </w:rPr>
              <w:t>201</w:t>
            </w:r>
            <w:r>
              <w:rPr>
                <w:rFonts w:cs="Arial"/>
                <w:b w:val="0"/>
                <w:sz w:val="20"/>
                <w:szCs w:val="20"/>
              </w:rPr>
              <w:t>6</w:t>
            </w:r>
          </w:p>
        </w:tc>
        <w:tc>
          <w:tcPr>
            <w:tcW w:w="309" w:type="pct"/>
          </w:tcPr>
          <w:p w14:paraId="50037070" w14:textId="77777777" w:rsidR="00523FBC" w:rsidRPr="00116356" w:rsidRDefault="00523FBC" w:rsidP="00855CBD">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7</w:t>
            </w:r>
          </w:p>
        </w:tc>
        <w:tc>
          <w:tcPr>
            <w:tcW w:w="309" w:type="pct"/>
          </w:tcPr>
          <w:p w14:paraId="2EFD5B12" w14:textId="77777777" w:rsidR="00523FBC" w:rsidRPr="00116356" w:rsidRDefault="00523FBC" w:rsidP="00855CBD">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8</w:t>
            </w:r>
          </w:p>
        </w:tc>
        <w:tc>
          <w:tcPr>
            <w:tcW w:w="309" w:type="pct"/>
          </w:tcPr>
          <w:p w14:paraId="489B87F9" w14:textId="77777777" w:rsidR="00523FBC" w:rsidRPr="00116356" w:rsidRDefault="00523FBC" w:rsidP="00855CBD">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9</w:t>
            </w:r>
          </w:p>
        </w:tc>
        <w:tc>
          <w:tcPr>
            <w:tcW w:w="308" w:type="pct"/>
          </w:tcPr>
          <w:p w14:paraId="11BC2B69" w14:textId="77777777" w:rsidR="00523FBC" w:rsidRPr="00116356" w:rsidRDefault="00523FBC" w:rsidP="00855CBD">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116356">
              <w:rPr>
                <w:rFonts w:cs="Arial"/>
                <w:b w:val="0"/>
                <w:sz w:val="20"/>
                <w:szCs w:val="20"/>
              </w:rPr>
              <w:t>20</w:t>
            </w:r>
            <w:r>
              <w:rPr>
                <w:rFonts w:cs="Arial"/>
                <w:b w:val="0"/>
                <w:sz w:val="20"/>
                <w:szCs w:val="20"/>
              </w:rPr>
              <w:t>20</w:t>
            </w:r>
          </w:p>
        </w:tc>
      </w:tr>
      <w:tr w:rsidR="00C200B4" w:rsidRPr="00116356" w14:paraId="5E0B1C26" w14:textId="1CEDE181" w:rsidTr="00C200B4">
        <w:tc>
          <w:tcPr>
            <w:cnfStyle w:val="001000000000" w:firstRow="0" w:lastRow="0" w:firstColumn="1" w:lastColumn="0" w:oddVBand="0" w:evenVBand="0" w:oddHBand="0" w:evenHBand="0" w:firstRowFirstColumn="0" w:firstRowLastColumn="0" w:lastRowFirstColumn="0" w:lastRowLastColumn="0"/>
            <w:tcW w:w="388" w:type="pct"/>
          </w:tcPr>
          <w:p w14:paraId="43365DEE" w14:textId="11034601" w:rsidR="00C200B4" w:rsidRPr="00722E1F" w:rsidRDefault="00C200B4" w:rsidP="00C200B4">
            <w:pPr>
              <w:spacing w:before="0" w:after="0" w:line="240" w:lineRule="auto"/>
              <w:rPr>
                <w:rFonts w:cs="Arial"/>
                <w:color w:val="FF0000"/>
                <w:sz w:val="20"/>
                <w:szCs w:val="20"/>
              </w:rPr>
            </w:pPr>
            <w:r w:rsidRPr="00316A03">
              <w:rPr>
                <w:rFonts w:cs="Arial"/>
                <w:szCs w:val="20"/>
                <w:lang w:eastAsia="en-GB"/>
              </w:rPr>
              <w:t>CM1</w:t>
            </w:r>
          </w:p>
        </w:tc>
        <w:tc>
          <w:tcPr>
            <w:tcW w:w="462" w:type="pct"/>
          </w:tcPr>
          <w:p w14:paraId="17BE4177" w14:textId="58170BB9" w:rsidR="00C200B4" w:rsidRPr="00722E1F"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16A03">
              <w:rPr>
                <w:rFonts w:cs="Arial"/>
                <w:szCs w:val="20"/>
                <w:lang w:eastAsia="en-GB"/>
              </w:rPr>
              <w:t>435,949</w:t>
            </w:r>
          </w:p>
        </w:tc>
        <w:tc>
          <w:tcPr>
            <w:tcW w:w="463" w:type="pct"/>
          </w:tcPr>
          <w:p w14:paraId="78E22913" w14:textId="638688FE" w:rsidR="00C200B4" w:rsidRPr="00722E1F"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16A03">
              <w:rPr>
                <w:rFonts w:cs="Arial"/>
                <w:szCs w:val="20"/>
                <w:lang w:eastAsia="en-GB"/>
              </w:rPr>
              <w:t>564,456</w:t>
            </w:r>
          </w:p>
        </w:tc>
        <w:tc>
          <w:tcPr>
            <w:tcW w:w="682" w:type="pct"/>
          </w:tcPr>
          <w:p w14:paraId="174EBC9C" w14:textId="7B85A67F" w:rsidR="00C200B4" w:rsidRPr="00722E1F"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16A03">
              <w:rPr>
                <w:rFonts w:cs="Arial"/>
                <w:szCs w:val="20"/>
                <w:lang w:eastAsia="en-GB"/>
              </w:rPr>
              <w:t>Roadside</w:t>
            </w:r>
          </w:p>
        </w:tc>
        <w:tc>
          <w:tcPr>
            <w:tcW w:w="730" w:type="pct"/>
          </w:tcPr>
          <w:p w14:paraId="04A95922" w14:textId="361FB3BC" w:rsidR="00C200B4" w:rsidRPr="00722E1F"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16A03">
              <w:rPr>
                <w:rFonts w:cs="Arial"/>
                <w:szCs w:val="20"/>
                <w:lang w:eastAsia="en-GB"/>
              </w:rPr>
              <w:t>Automatic</w:t>
            </w:r>
          </w:p>
        </w:tc>
        <w:tc>
          <w:tcPr>
            <w:tcW w:w="731" w:type="pct"/>
          </w:tcPr>
          <w:p w14:paraId="6FCD2FF6" w14:textId="47C5BB2B" w:rsidR="00C200B4" w:rsidRPr="00722E1F" w:rsidRDefault="00AD4307"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szCs w:val="20"/>
                <w:lang w:eastAsia="en-GB"/>
              </w:rPr>
              <w:t>97.7</w:t>
            </w:r>
          </w:p>
        </w:tc>
        <w:tc>
          <w:tcPr>
            <w:tcW w:w="309" w:type="pct"/>
          </w:tcPr>
          <w:p w14:paraId="2DB5DC91" w14:textId="1B7C6C06" w:rsidR="00C200B4" w:rsidRPr="00722E1F"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16A03">
              <w:rPr>
                <w:rFonts w:cs="Arial"/>
                <w:bCs/>
                <w:szCs w:val="20"/>
                <w:lang w:eastAsia="en-GB"/>
              </w:rPr>
              <w:t>27.7</w:t>
            </w:r>
          </w:p>
        </w:tc>
        <w:tc>
          <w:tcPr>
            <w:tcW w:w="309" w:type="pct"/>
          </w:tcPr>
          <w:p w14:paraId="34DB653E" w14:textId="7BB4779C" w:rsidR="00C200B4" w:rsidRPr="00722E1F"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16A03">
              <w:rPr>
                <w:rFonts w:cs="Arial"/>
                <w:bCs/>
                <w:szCs w:val="20"/>
                <w:lang w:eastAsia="en-GB"/>
              </w:rPr>
              <w:t>23</w:t>
            </w:r>
          </w:p>
        </w:tc>
        <w:tc>
          <w:tcPr>
            <w:tcW w:w="309" w:type="pct"/>
          </w:tcPr>
          <w:p w14:paraId="5FC7C8B3" w14:textId="0165C6D1" w:rsidR="00C200B4" w:rsidRPr="00722E1F"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16A03">
              <w:rPr>
                <w:rFonts w:cs="Arial"/>
                <w:bCs/>
                <w:szCs w:val="20"/>
                <w:lang w:eastAsia="en-GB"/>
              </w:rPr>
              <w:t>24</w:t>
            </w:r>
          </w:p>
        </w:tc>
        <w:tc>
          <w:tcPr>
            <w:tcW w:w="309" w:type="pct"/>
          </w:tcPr>
          <w:p w14:paraId="0E6B5851" w14:textId="7AFC906C" w:rsidR="00C200B4" w:rsidRPr="00722E1F"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16A03">
              <w:rPr>
                <w:rFonts w:cs="Arial"/>
                <w:bCs/>
                <w:szCs w:val="20"/>
                <w:lang w:eastAsia="en-GB"/>
              </w:rPr>
              <w:t>23</w:t>
            </w:r>
          </w:p>
        </w:tc>
        <w:tc>
          <w:tcPr>
            <w:tcW w:w="308" w:type="pct"/>
          </w:tcPr>
          <w:p w14:paraId="4727D45F" w14:textId="5ED868E4" w:rsidR="00C200B4" w:rsidRPr="00AD4307" w:rsidRDefault="00751C7F"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sidRPr="00AD4307">
              <w:rPr>
                <w:rFonts w:cs="Arial"/>
                <w:szCs w:val="24"/>
              </w:rPr>
              <w:t>16</w:t>
            </w:r>
          </w:p>
        </w:tc>
      </w:tr>
      <w:tr w:rsidR="00C200B4" w:rsidRPr="00116356" w14:paraId="17C444B5" w14:textId="77777777" w:rsidTr="00C200B4">
        <w:tc>
          <w:tcPr>
            <w:cnfStyle w:val="001000000000" w:firstRow="0" w:lastRow="0" w:firstColumn="1" w:lastColumn="0" w:oddVBand="0" w:evenVBand="0" w:oddHBand="0" w:evenHBand="0" w:firstRowFirstColumn="0" w:firstRowLastColumn="0" w:lastRowFirstColumn="0" w:lastRowLastColumn="0"/>
            <w:tcW w:w="388" w:type="pct"/>
          </w:tcPr>
          <w:p w14:paraId="0F6DE287" w14:textId="5F8CA1C1" w:rsidR="00C200B4" w:rsidRPr="00316A03" w:rsidRDefault="00C200B4" w:rsidP="00C200B4">
            <w:pPr>
              <w:spacing w:before="0" w:after="0" w:line="240" w:lineRule="auto"/>
              <w:rPr>
                <w:rFonts w:cs="Arial"/>
                <w:szCs w:val="20"/>
                <w:lang w:eastAsia="en-GB"/>
              </w:rPr>
            </w:pPr>
            <w:r w:rsidRPr="00316A03">
              <w:rPr>
                <w:rFonts w:cs="Arial"/>
                <w:szCs w:val="20"/>
                <w:lang w:eastAsia="en-GB"/>
              </w:rPr>
              <w:t>CM2</w:t>
            </w:r>
          </w:p>
        </w:tc>
        <w:tc>
          <w:tcPr>
            <w:tcW w:w="462" w:type="pct"/>
          </w:tcPr>
          <w:p w14:paraId="05980C92" w14:textId="31264653"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szCs w:val="20"/>
                <w:lang w:eastAsia="en-GB"/>
              </w:rPr>
              <w:t>434,068</w:t>
            </w:r>
          </w:p>
        </w:tc>
        <w:tc>
          <w:tcPr>
            <w:tcW w:w="463" w:type="pct"/>
          </w:tcPr>
          <w:p w14:paraId="3526E101" w14:textId="2464B67F"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szCs w:val="20"/>
                <w:lang w:eastAsia="en-GB"/>
              </w:rPr>
              <w:t>563,695</w:t>
            </w:r>
          </w:p>
        </w:tc>
        <w:tc>
          <w:tcPr>
            <w:tcW w:w="682" w:type="pct"/>
          </w:tcPr>
          <w:p w14:paraId="2F92C466" w14:textId="46B9DF88"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szCs w:val="20"/>
                <w:lang w:eastAsia="en-GB"/>
              </w:rPr>
              <w:t>Roadside</w:t>
            </w:r>
          </w:p>
        </w:tc>
        <w:tc>
          <w:tcPr>
            <w:tcW w:w="730" w:type="pct"/>
          </w:tcPr>
          <w:p w14:paraId="2C853926" w14:textId="63C1437D"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szCs w:val="20"/>
                <w:lang w:eastAsia="en-GB"/>
              </w:rPr>
              <w:t>Automatic</w:t>
            </w:r>
          </w:p>
        </w:tc>
        <w:tc>
          <w:tcPr>
            <w:tcW w:w="731" w:type="pct"/>
          </w:tcPr>
          <w:p w14:paraId="0DEE3436" w14:textId="12B03DA4"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szCs w:val="20"/>
                <w:lang w:eastAsia="en-GB"/>
              </w:rPr>
              <w:t>99.</w:t>
            </w:r>
            <w:r w:rsidR="00004F77">
              <w:rPr>
                <w:rFonts w:cs="Arial"/>
                <w:szCs w:val="20"/>
                <w:lang w:eastAsia="en-GB"/>
              </w:rPr>
              <w:t>9</w:t>
            </w:r>
          </w:p>
        </w:tc>
        <w:tc>
          <w:tcPr>
            <w:tcW w:w="309" w:type="pct"/>
          </w:tcPr>
          <w:p w14:paraId="0655A116" w14:textId="463D7133"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bCs/>
                <w:szCs w:val="20"/>
                <w:lang w:eastAsia="en-GB"/>
              </w:rPr>
              <w:t>22.1</w:t>
            </w:r>
          </w:p>
        </w:tc>
        <w:tc>
          <w:tcPr>
            <w:tcW w:w="309" w:type="pct"/>
          </w:tcPr>
          <w:p w14:paraId="1E117594" w14:textId="4F839475"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szCs w:val="20"/>
                <w:u w:val="single"/>
                <w:lang w:eastAsia="en-GB"/>
              </w:rPr>
            </w:pPr>
            <w:r w:rsidRPr="00316A03">
              <w:rPr>
                <w:rFonts w:cs="Arial"/>
                <w:bCs/>
                <w:szCs w:val="20"/>
                <w:lang w:eastAsia="en-GB"/>
              </w:rPr>
              <w:t>25</w:t>
            </w:r>
          </w:p>
        </w:tc>
        <w:tc>
          <w:tcPr>
            <w:tcW w:w="309" w:type="pct"/>
          </w:tcPr>
          <w:p w14:paraId="1ED8652A" w14:textId="74BBE13A"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Cs/>
                <w:szCs w:val="20"/>
                <w:lang w:eastAsia="en-GB"/>
              </w:rPr>
            </w:pPr>
            <w:r w:rsidRPr="00316A03">
              <w:rPr>
                <w:rFonts w:cs="Arial"/>
                <w:bCs/>
                <w:szCs w:val="20"/>
                <w:lang w:eastAsia="en-GB"/>
              </w:rPr>
              <w:t>26</w:t>
            </w:r>
          </w:p>
        </w:tc>
        <w:tc>
          <w:tcPr>
            <w:tcW w:w="309" w:type="pct"/>
          </w:tcPr>
          <w:p w14:paraId="6EADD126" w14:textId="638F1FD1"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Cs/>
                <w:szCs w:val="20"/>
                <w:lang w:eastAsia="en-GB"/>
              </w:rPr>
            </w:pPr>
            <w:r w:rsidRPr="00316A03">
              <w:rPr>
                <w:rFonts w:cs="Arial"/>
                <w:bCs/>
                <w:szCs w:val="20"/>
                <w:lang w:eastAsia="en-GB"/>
              </w:rPr>
              <w:t>23</w:t>
            </w:r>
          </w:p>
        </w:tc>
        <w:tc>
          <w:tcPr>
            <w:tcW w:w="308" w:type="pct"/>
          </w:tcPr>
          <w:p w14:paraId="1D3D974B" w14:textId="6FE3CADB" w:rsidR="00C200B4" w:rsidRPr="00AD4307" w:rsidRDefault="00004F77"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Cs/>
                <w:szCs w:val="24"/>
                <w:lang w:eastAsia="en-GB"/>
              </w:rPr>
            </w:pPr>
            <w:r>
              <w:rPr>
                <w:rFonts w:cs="Arial"/>
                <w:bCs/>
                <w:szCs w:val="24"/>
                <w:lang w:eastAsia="en-GB"/>
              </w:rPr>
              <w:t>20</w:t>
            </w:r>
          </w:p>
        </w:tc>
      </w:tr>
      <w:tr w:rsidR="00C200B4" w:rsidRPr="00116356" w14:paraId="20585DF8" w14:textId="77777777" w:rsidTr="00C200B4">
        <w:tc>
          <w:tcPr>
            <w:cnfStyle w:val="001000000000" w:firstRow="0" w:lastRow="0" w:firstColumn="1" w:lastColumn="0" w:oddVBand="0" w:evenVBand="0" w:oddHBand="0" w:evenHBand="0" w:firstRowFirstColumn="0" w:firstRowLastColumn="0" w:lastRowFirstColumn="0" w:lastRowLastColumn="0"/>
            <w:tcW w:w="388" w:type="pct"/>
          </w:tcPr>
          <w:p w14:paraId="086B61EF" w14:textId="7919B733" w:rsidR="00C200B4" w:rsidRPr="00316A03" w:rsidRDefault="00C200B4" w:rsidP="00C200B4">
            <w:pPr>
              <w:spacing w:before="0" w:after="0" w:line="240" w:lineRule="auto"/>
              <w:rPr>
                <w:rFonts w:cs="Arial"/>
                <w:szCs w:val="20"/>
                <w:lang w:eastAsia="en-GB"/>
              </w:rPr>
            </w:pPr>
            <w:r w:rsidRPr="00316A03">
              <w:rPr>
                <w:rFonts w:cs="Arial"/>
                <w:szCs w:val="20"/>
                <w:lang w:eastAsia="en-GB"/>
              </w:rPr>
              <w:t>CM3</w:t>
            </w:r>
          </w:p>
        </w:tc>
        <w:tc>
          <w:tcPr>
            <w:tcW w:w="462" w:type="pct"/>
          </w:tcPr>
          <w:p w14:paraId="1A98CEA4" w14:textId="6A962400"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szCs w:val="20"/>
                <w:lang w:eastAsia="en-GB"/>
              </w:rPr>
              <w:t>435,565</w:t>
            </w:r>
          </w:p>
        </w:tc>
        <w:tc>
          <w:tcPr>
            <w:tcW w:w="463" w:type="pct"/>
          </w:tcPr>
          <w:p w14:paraId="733C219F" w14:textId="1CEFF33C"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szCs w:val="20"/>
                <w:lang w:eastAsia="en-GB"/>
              </w:rPr>
              <w:t>565,040</w:t>
            </w:r>
          </w:p>
        </w:tc>
        <w:tc>
          <w:tcPr>
            <w:tcW w:w="682" w:type="pct"/>
          </w:tcPr>
          <w:p w14:paraId="64E2CBDE" w14:textId="3C531977"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szCs w:val="20"/>
                <w:lang w:eastAsia="en-GB"/>
              </w:rPr>
              <w:t>Roadside</w:t>
            </w:r>
          </w:p>
        </w:tc>
        <w:tc>
          <w:tcPr>
            <w:tcW w:w="730" w:type="pct"/>
          </w:tcPr>
          <w:p w14:paraId="6BB3EE45" w14:textId="5B04CDCF"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szCs w:val="20"/>
                <w:lang w:eastAsia="en-GB"/>
              </w:rPr>
              <w:t>Automatic</w:t>
            </w:r>
          </w:p>
        </w:tc>
        <w:tc>
          <w:tcPr>
            <w:tcW w:w="731" w:type="pct"/>
          </w:tcPr>
          <w:p w14:paraId="70C8B91C" w14:textId="43934583"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szCs w:val="20"/>
                <w:lang w:eastAsia="en-GB"/>
              </w:rPr>
              <w:t>9</w:t>
            </w:r>
            <w:r w:rsidR="00D30ADA">
              <w:rPr>
                <w:rFonts w:cs="Arial"/>
                <w:szCs w:val="20"/>
                <w:lang w:eastAsia="en-GB"/>
              </w:rPr>
              <w:t>8.9</w:t>
            </w:r>
          </w:p>
        </w:tc>
        <w:tc>
          <w:tcPr>
            <w:tcW w:w="309" w:type="pct"/>
          </w:tcPr>
          <w:p w14:paraId="5F7264AD" w14:textId="04C47A3C"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16A03">
              <w:rPr>
                <w:rFonts w:cs="Arial"/>
                <w:bCs/>
                <w:szCs w:val="20"/>
                <w:lang w:eastAsia="en-GB"/>
              </w:rPr>
              <w:t>21.3</w:t>
            </w:r>
          </w:p>
        </w:tc>
        <w:tc>
          <w:tcPr>
            <w:tcW w:w="309" w:type="pct"/>
          </w:tcPr>
          <w:p w14:paraId="428D2447" w14:textId="7A278208"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szCs w:val="20"/>
                <w:u w:val="single"/>
                <w:lang w:eastAsia="en-GB"/>
              </w:rPr>
            </w:pPr>
            <w:r w:rsidRPr="00316A03">
              <w:rPr>
                <w:rFonts w:cs="Arial"/>
                <w:bCs/>
                <w:szCs w:val="20"/>
                <w:lang w:eastAsia="en-GB"/>
              </w:rPr>
              <w:t>27</w:t>
            </w:r>
          </w:p>
        </w:tc>
        <w:tc>
          <w:tcPr>
            <w:tcW w:w="309" w:type="pct"/>
          </w:tcPr>
          <w:p w14:paraId="3BB5930E" w14:textId="1DE45BC9"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Cs/>
                <w:szCs w:val="20"/>
                <w:lang w:eastAsia="en-GB"/>
              </w:rPr>
            </w:pPr>
            <w:r w:rsidRPr="00316A03">
              <w:rPr>
                <w:rFonts w:cs="Arial"/>
                <w:bCs/>
                <w:szCs w:val="20"/>
                <w:lang w:eastAsia="en-GB"/>
              </w:rPr>
              <w:t>31</w:t>
            </w:r>
          </w:p>
        </w:tc>
        <w:tc>
          <w:tcPr>
            <w:tcW w:w="309" w:type="pct"/>
          </w:tcPr>
          <w:p w14:paraId="3FD76311" w14:textId="4CDE0E12" w:rsidR="00C200B4" w:rsidRPr="00316A03" w:rsidRDefault="00C200B4"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Cs/>
                <w:szCs w:val="20"/>
                <w:lang w:eastAsia="en-GB"/>
              </w:rPr>
            </w:pPr>
            <w:r w:rsidRPr="00316A03">
              <w:rPr>
                <w:rFonts w:cs="Arial"/>
                <w:bCs/>
                <w:szCs w:val="20"/>
                <w:lang w:eastAsia="en-GB"/>
              </w:rPr>
              <w:t>26</w:t>
            </w:r>
          </w:p>
        </w:tc>
        <w:tc>
          <w:tcPr>
            <w:tcW w:w="308" w:type="pct"/>
          </w:tcPr>
          <w:p w14:paraId="45005AFE" w14:textId="45116EA5" w:rsidR="00C200B4" w:rsidRPr="00AD4307" w:rsidRDefault="00D30ADA" w:rsidP="00C200B4">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Cs/>
                <w:szCs w:val="24"/>
                <w:lang w:eastAsia="en-GB"/>
              </w:rPr>
            </w:pPr>
            <w:r>
              <w:rPr>
                <w:rFonts w:cs="Arial"/>
                <w:bCs/>
                <w:szCs w:val="24"/>
                <w:lang w:eastAsia="en-GB"/>
              </w:rPr>
              <w:t>20</w:t>
            </w:r>
          </w:p>
        </w:tc>
      </w:tr>
    </w:tbl>
    <w:p w14:paraId="5ADF69F9" w14:textId="5E4498C6" w:rsidR="00523FBC" w:rsidRPr="00090C17" w:rsidRDefault="00B6413C" w:rsidP="00523FBC">
      <w:pPr>
        <w:spacing w:line="240" w:lineRule="auto"/>
        <w:rPr>
          <w:szCs w:val="20"/>
        </w:rPr>
      </w:pPr>
      <w:sdt>
        <w:sdtPr>
          <w:rPr>
            <w:color w:val="2B579A"/>
            <w:szCs w:val="20"/>
            <w:shd w:val="clear" w:color="auto" w:fill="E6E6E6"/>
          </w:rPr>
          <w:id w:val="1869250809"/>
          <w14:checkbox>
            <w14:checked w14:val="1"/>
            <w14:checkedState w14:val="2612" w14:font="MS Gothic"/>
            <w14:uncheckedState w14:val="2610" w14:font="MS Gothic"/>
          </w14:checkbox>
        </w:sdtPr>
        <w:sdtEndPr/>
        <w:sdtContent>
          <w:r w:rsidR="0007166E">
            <w:rPr>
              <w:rFonts w:ascii="MS Gothic" w:eastAsia="MS Gothic" w:hAnsi="MS Gothic" w:hint="eastAsia"/>
              <w:color w:val="2B579A"/>
              <w:szCs w:val="20"/>
              <w:shd w:val="clear" w:color="auto" w:fill="E6E6E6"/>
            </w:rPr>
            <w:t>☒</w:t>
          </w:r>
        </w:sdtContent>
      </w:sdt>
      <w:r w:rsidR="00523FBC" w:rsidRPr="00090C17">
        <w:rPr>
          <w:szCs w:val="20"/>
        </w:rPr>
        <w:t xml:space="preserve"> </w:t>
      </w:r>
      <w:r w:rsidR="00523FBC" w:rsidRPr="00090C17">
        <w:rPr>
          <w:b/>
          <w:szCs w:val="20"/>
        </w:rPr>
        <w:t>Annualisation has been conducted where data capture is &lt;75%</w:t>
      </w:r>
      <w:r w:rsidR="00523FBC">
        <w:rPr>
          <w:b/>
          <w:szCs w:val="20"/>
        </w:rPr>
        <w:t xml:space="preserve"> and &gt;33% in line with LAQM.TG16</w:t>
      </w:r>
      <w:r w:rsidR="00523FBC" w:rsidRPr="00090C17">
        <w:rPr>
          <w:b/>
          <w:szCs w:val="20"/>
        </w:rPr>
        <w:t>.</w:t>
      </w:r>
    </w:p>
    <w:p w14:paraId="47F14DF2" w14:textId="5A73FDFA" w:rsidR="00523FBC" w:rsidRPr="00090C17" w:rsidRDefault="00B6413C" w:rsidP="00523FBC">
      <w:pPr>
        <w:spacing w:line="240" w:lineRule="auto"/>
        <w:rPr>
          <w:szCs w:val="20"/>
        </w:rPr>
      </w:pPr>
      <w:sdt>
        <w:sdtPr>
          <w:rPr>
            <w:color w:val="2B579A"/>
            <w:szCs w:val="20"/>
            <w:shd w:val="clear" w:color="auto" w:fill="E6E6E6"/>
          </w:rPr>
          <w:id w:val="802124000"/>
          <w14:checkbox>
            <w14:checked w14:val="1"/>
            <w14:checkedState w14:val="2612" w14:font="MS Gothic"/>
            <w14:uncheckedState w14:val="2610" w14:font="MS Gothic"/>
          </w14:checkbox>
        </w:sdtPr>
        <w:sdtEndPr/>
        <w:sdtContent>
          <w:r w:rsidR="00633DF7">
            <w:rPr>
              <w:rFonts w:ascii="MS Gothic" w:eastAsia="MS Gothic" w:hAnsi="MS Gothic" w:hint="eastAsia"/>
              <w:color w:val="2B579A"/>
              <w:szCs w:val="20"/>
              <w:shd w:val="clear" w:color="auto" w:fill="E6E6E6"/>
            </w:rPr>
            <w:t>☒</w:t>
          </w:r>
        </w:sdtContent>
      </w:sdt>
      <w:r w:rsidR="00523FBC" w:rsidRPr="00090C17">
        <w:rPr>
          <w:szCs w:val="20"/>
        </w:rPr>
        <w:t xml:space="preserve"> </w:t>
      </w:r>
      <w:r w:rsidR="00523FBC" w:rsidRPr="00090C17">
        <w:rPr>
          <w:b/>
          <w:szCs w:val="20"/>
        </w:rPr>
        <w:t xml:space="preserve">Reported concentrations are those at the location of the monitoring site (annualised, as required), i.e. prior to any fall-off with distance </w:t>
      </w:r>
      <w:r w:rsidR="00523FBC">
        <w:rPr>
          <w:b/>
          <w:szCs w:val="20"/>
        </w:rPr>
        <w:t>correction</w:t>
      </w:r>
      <w:r w:rsidR="00523FBC" w:rsidRPr="00090C17">
        <w:rPr>
          <w:b/>
          <w:szCs w:val="20"/>
        </w:rPr>
        <w:t>.</w:t>
      </w:r>
    </w:p>
    <w:p w14:paraId="0F482A9D" w14:textId="77777777" w:rsidR="00523FBC" w:rsidRPr="00090C17" w:rsidRDefault="00523FBC" w:rsidP="00523FBC">
      <w:pPr>
        <w:spacing w:line="240" w:lineRule="auto"/>
        <w:rPr>
          <w:b/>
        </w:rPr>
      </w:pPr>
      <w:r w:rsidRPr="00090C17">
        <w:rPr>
          <w:b/>
        </w:rPr>
        <w:t>Notes:</w:t>
      </w:r>
    </w:p>
    <w:p w14:paraId="5E977983" w14:textId="77777777" w:rsidR="00523FBC" w:rsidRPr="00090C17" w:rsidRDefault="00523FBC" w:rsidP="00523FBC">
      <w:pPr>
        <w:spacing w:line="240" w:lineRule="auto"/>
      </w:pPr>
      <w:r>
        <w:t xml:space="preserve">The annual mean concentrations are presented as </w:t>
      </w:r>
      <w:r>
        <w:rPr>
          <w:rFonts w:cs="Arial"/>
        </w:rPr>
        <w:t>µ</w:t>
      </w:r>
      <w:r>
        <w:t>g/m</w:t>
      </w:r>
      <w:r>
        <w:rPr>
          <w:vertAlign w:val="superscript"/>
        </w:rPr>
        <w:t>3</w:t>
      </w:r>
      <w:r w:rsidRPr="00090C17">
        <w:t>.</w:t>
      </w:r>
    </w:p>
    <w:p w14:paraId="741D846F" w14:textId="77777777" w:rsidR="00523FBC" w:rsidRPr="00090C17" w:rsidRDefault="00523FBC" w:rsidP="00523FBC">
      <w:pPr>
        <w:spacing w:line="240" w:lineRule="auto"/>
      </w:pPr>
      <w:r w:rsidRPr="00090C17">
        <w:t>Exceedances of the NO</w:t>
      </w:r>
      <w:r w:rsidRPr="00090C17">
        <w:rPr>
          <w:vertAlign w:val="subscript"/>
        </w:rPr>
        <w:t>2</w:t>
      </w:r>
      <w:r w:rsidRPr="00090C17">
        <w:t xml:space="preserve"> annual mean objective of 40µg/m</w:t>
      </w:r>
      <w:r w:rsidRPr="00090C17">
        <w:rPr>
          <w:vertAlign w:val="superscript"/>
        </w:rPr>
        <w:t>3</w:t>
      </w:r>
      <w:r w:rsidRPr="00090C17">
        <w:t xml:space="preserve"> are shown in </w:t>
      </w:r>
      <w:r w:rsidRPr="00090C17">
        <w:rPr>
          <w:b/>
        </w:rPr>
        <w:t>bold</w:t>
      </w:r>
      <w:r w:rsidRPr="00090C17">
        <w:t>.</w:t>
      </w:r>
    </w:p>
    <w:p w14:paraId="48757A1F" w14:textId="5D90E779" w:rsidR="00523FBC" w:rsidRDefault="00523FBC" w:rsidP="00523FBC">
      <w:pPr>
        <w:spacing w:line="240" w:lineRule="auto"/>
        <w:rPr>
          <w:bCs/>
        </w:rPr>
      </w:pPr>
      <w:r w:rsidRPr="00564B48">
        <w:rPr>
          <w:bCs/>
        </w:rPr>
        <w:t xml:space="preserve">All means have been “annualised” as per LAQM.TG16 if valid data capture for the full calendar year is less than 75%. See </w:t>
      </w:r>
      <w:hyperlink w:anchor="_Appendix_C:_Supporting" w:history="1">
        <w:r w:rsidRPr="00564B48">
          <w:t>Appendix C</w:t>
        </w:r>
      </w:hyperlink>
      <w:r w:rsidRPr="00564B48">
        <w:rPr>
          <w:bCs/>
        </w:rPr>
        <w:t xml:space="preserve"> for details.</w:t>
      </w:r>
    </w:p>
    <w:p w14:paraId="5DDAE3C2" w14:textId="77777777" w:rsidR="00523FBC" w:rsidRPr="00564B48" w:rsidRDefault="00523FBC" w:rsidP="00523FBC">
      <w:pPr>
        <w:spacing w:line="240" w:lineRule="auto"/>
        <w:rPr>
          <w:bCs/>
        </w:rPr>
      </w:pPr>
      <w:r w:rsidRPr="00564B48">
        <w:rPr>
          <w:bCs/>
        </w:rPr>
        <w:t>Concentrations are those at the location of monitoring and not those following any fall-off with distance adjustment.</w:t>
      </w:r>
    </w:p>
    <w:p w14:paraId="316063EB" w14:textId="77777777" w:rsidR="00523FBC" w:rsidRPr="00090C17" w:rsidRDefault="00523FBC" w:rsidP="00523FBC">
      <w:pPr>
        <w:spacing w:line="240" w:lineRule="auto"/>
      </w:pPr>
      <w:r w:rsidRPr="00090C17">
        <w:t>(1) Data capture for the monitoring period, in cases where monitoring was only carried out for part of the year.</w:t>
      </w:r>
    </w:p>
    <w:p w14:paraId="59E5EB10" w14:textId="77777777" w:rsidR="00523FBC" w:rsidRDefault="00523FBC" w:rsidP="00523FBC">
      <w:pPr>
        <w:spacing w:line="240" w:lineRule="auto"/>
      </w:pPr>
      <w:r w:rsidRPr="00090C17">
        <w:t>(2) Data capture for the full calendar year (e.g. if monitoring was carried out for 6 months, the maximum data capture for the full calendar year is 50%).</w:t>
      </w:r>
    </w:p>
    <w:p w14:paraId="79201563" w14:textId="41208001" w:rsidR="006078E8" w:rsidRDefault="006078E8">
      <w:pPr>
        <w:spacing w:before="0" w:after="0" w:line="240" w:lineRule="auto"/>
        <w:rPr>
          <w:b/>
          <w:iCs/>
          <w:color w:val="008938"/>
          <w:szCs w:val="18"/>
        </w:rPr>
      </w:pPr>
      <w:r>
        <w:br w:type="page"/>
      </w:r>
    </w:p>
    <w:p w14:paraId="0A847A7B" w14:textId="622561C7" w:rsidR="00443B98" w:rsidRDefault="00443B98" w:rsidP="00400B0F">
      <w:pPr>
        <w:pStyle w:val="Caption"/>
        <w:rPr>
          <w:rFonts w:cs="Arial"/>
          <w:szCs w:val="24"/>
        </w:rPr>
      </w:pPr>
      <w:bookmarkStart w:id="74" w:name="_Ref65700338"/>
      <w:bookmarkStart w:id="75" w:name="_Toc74642725"/>
      <w:r>
        <w:t>Table A.</w:t>
      </w:r>
      <w:r w:rsidR="00742944">
        <w:rPr>
          <w:color w:val="2B579A"/>
          <w:shd w:val="clear" w:color="auto" w:fill="E6E6E6"/>
        </w:rPr>
        <w:fldChar w:fldCharType="begin"/>
      </w:r>
      <w:r w:rsidR="00742944">
        <w:rPr>
          <w:noProof/>
        </w:rPr>
        <w:instrText xml:space="preserve"> SEQ Table_A \* ARABIC </w:instrText>
      </w:r>
      <w:r w:rsidR="00742944">
        <w:rPr>
          <w:color w:val="2B579A"/>
          <w:shd w:val="clear" w:color="auto" w:fill="E6E6E6"/>
        </w:rPr>
        <w:fldChar w:fldCharType="separate"/>
      </w:r>
      <w:r w:rsidR="0062374A">
        <w:rPr>
          <w:noProof/>
        </w:rPr>
        <w:t>4</w:t>
      </w:r>
      <w:r w:rsidR="00742944">
        <w:rPr>
          <w:color w:val="2B579A"/>
          <w:shd w:val="clear" w:color="auto" w:fill="E6E6E6"/>
        </w:rPr>
        <w:fldChar w:fldCharType="end"/>
      </w:r>
      <w:bookmarkEnd w:id="73"/>
      <w:bookmarkEnd w:id="74"/>
      <w:r>
        <w:t xml:space="preserve"> – </w:t>
      </w:r>
      <w:r w:rsidRPr="008603A5">
        <w:t>Annual Mean NO</w:t>
      </w:r>
      <w:r w:rsidRPr="008603A5">
        <w:rPr>
          <w:vertAlign w:val="subscript"/>
        </w:rPr>
        <w:t>2</w:t>
      </w:r>
      <w:r w:rsidRPr="008603A5">
        <w:t xml:space="preserve"> </w:t>
      </w:r>
      <w:r w:rsidRPr="00786EB7">
        <w:rPr>
          <w:szCs w:val="24"/>
        </w:rPr>
        <w:t>Monitoring Results</w:t>
      </w:r>
      <w:r w:rsidR="006078E8">
        <w:rPr>
          <w:szCs w:val="24"/>
        </w:rPr>
        <w:t xml:space="preserve">: </w:t>
      </w:r>
      <w:r w:rsidR="00523FBC">
        <w:rPr>
          <w:szCs w:val="24"/>
        </w:rPr>
        <w:t>Non-Automatic</w:t>
      </w:r>
      <w:r w:rsidR="000F621C">
        <w:rPr>
          <w:szCs w:val="24"/>
        </w:rPr>
        <w:t xml:space="preserve"> Monitoring</w:t>
      </w:r>
      <w:r w:rsidR="00090C17" w:rsidRPr="00786EB7">
        <w:rPr>
          <w:szCs w:val="24"/>
        </w:rPr>
        <w:t xml:space="preserve"> </w:t>
      </w:r>
      <w:r w:rsidR="00786EB7" w:rsidRPr="00786EB7">
        <w:rPr>
          <w:szCs w:val="24"/>
        </w:rPr>
        <w:t>(</w:t>
      </w:r>
      <w:r w:rsidR="00090C17" w:rsidRPr="00786EB7">
        <w:rPr>
          <w:rFonts w:cs="Arial"/>
          <w:szCs w:val="24"/>
        </w:rPr>
        <w:t>µg/m</w:t>
      </w:r>
      <w:r w:rsidR="00090C17" w:rsidRPr="00786EB7">
        <w:rPr>
          <w:rFonts w:cs="Arial"/>
          <w:szCs w:val="24"/>
          <w:vertAlign w:val="superscript"/>
        </w:rPr>
        <w:t>3</w:t>
      </w:r>
      <w:r w:rsidR="00090C17" w:rsidRPr="00786EB7">
        <w:rPr>
          <w:rFonts w:cs="Arial"/>
          <w:szCs w:val="24"/>
        </w:rPr>
        <w:t>)</w:t>
      </w:r>
      <w:bookmarkEnd w:id="75"/>
    </w:p>
    <w:tbl>
      <w:tblPr>
        <w:tblW w:w="14553" w:type="dxa"/>
        <w:tblLook w:val="04A0" w:firstRow="1" w:lastRow="0" w:firstColumn="1" w:lastColumn="0" w:noHBand="0" w:noVBand="1"/>
      </w:tblPr>
      <w:tblGrid>
        <w:gridCol w:w="1083"/>
        <w:gridCol w:w="1316"/>
        <w:gridCol w:w="1424"/>
        <w:gridCol w:w="1935"/>
        <w:gridCol w:w="2175"/>
        <w:gridCol w:w="2127"/>
        <w:gridCol w:w="896"/>
        <w:gridCol w:w="895"/>
        <w:gridCol w:w="896"/>
        <w:gridCol w:w="938"/>
        <w:gridCol w:w="868"/>
      </w:tblGrid>
      <w:tr w:rsidR="00CF15F5" w:rsidRPr="00210C4A" w14:paraId="264B0876" w14:textId="77777777" w:rsidTr="00C1564F">
        <w:trPr>
          <w:trHeight w:val="1110"/>
        </w:trPr>
        <w:tc>
          <w:tcPr>
            <w:tcW w:w="1083" w:type="dxa"/>
            <w:vMerge w:val="restart"/>
            <w:tcBorders>
              <w:top w:val="single" w:sz="4" w:space="0" w:color="auto"/>
              <w:left w:val="single" w:sz="4" w:space="0" w:color="auto"/>
              <w:bottom w:val="single" w:sz="4" w:space="0" w:color="auto"/>
              <w:right w:val="single" w:sz="4" w:space="0" w:color="auto"/>
            </w:tcBorders>
            <w:shd w:val="clear" w:color="000000" w:fill="00AF41"/>
            <w:vAlign w:val="center"/>
            <w:hideMark/>
          </w:tcPr>
          <w:p w14:paraId="7EFC1DD6"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Diffusion Tube ID</w:t>
            </w:r>
          </w:p>
        </w:tc>
        <w:tc>
          <w:tcPr>
            <w:tcW w:w="1316" w:type="dxa"/>
            <w:vMerge w:val="restart"/>
            <w:tcBorders>
              <w:top w:val="single" w:sz="4" w:space="0" w:color="auto"/>
              <w:left w:val="single" w:sz="4" w:space="0" w:color="auto"/>
              <w:bottom w:val="single" w:sz="4" w:space="0" w:color="auto"/>
              <w:right w:val="single" w:sz="4" w:space="0" w:color="auto"/>
            </w:tcBorders>
            <w:shd w:val="clear" w:color="000000" w:fill="00AF41"/>
            <w:vAlign w:val="center"/>
            <w:hideMark/>
          </w:tcPr>
          <w:p w14:paraId="291198D9"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X OS Grid Ref (Easting)</w:t>
            </w:r>
          </w:p>
        </w:tc>
        <w:tc>
          <w:tcPr>
            <w:tcW w:w="1424" w:type="dxa"/>
            <w:vMerge w:val="restart"/>
            <w:tcBorders>
              <w:top w:val="single" w:sz="4" w:space="0" w:color="auto"/>
              <w:left w:val="single" w:sz="4" w:space="0" w:color="auto"/>
              <w:bottom w:val="single" w:sz="4" w:space="0" w:color="auto"/>
              <w:right w:val="single" w:sz="4" w:space="0" w:color="auto"/>
            </w:tcBorders>
            <w:shd w:val="clear" w:color="000000" w:fill="00AF41"/>
            <w:vAlign w:val="center"/>
            <w:hideMark/>
          </w:tcPr>
          <w:p w14:paraId="23218B49"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Y OS Grid Ref (Northing)</w:t>
            </w:r>
          </w:p>
        </w:tc>
        <w:tc>
          <w:tcPr>
            <w:tcW w:w="1935" w:type="dxa"/>
            <w:vMerge w:val="restart"/>
            <w:tcBorders>
              <w:top w:val="single" w:sz="4" w:space="0" w:color="auto"/>
              <w:left w:val="single" w:sz="4" w:space="0" w:color="auto"/>
              <w:bottom w:val="single" w:sz="4" w:space="0" w:color="auto"/>
              <w:right w:val="single" w:sz="4" w:space="0" w:color="auto"/>
            </w:tcBorders>
            <w:shd w:val="clear" w:color="000000" w:fill="00AF41"/>
            <w:vAlign w:val="center"/>
            <w:hideMark/>
          </w:tcPr>
          <w:p w14:paraId="58E929D0"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Site Type</w:t>
            </w:r>
          </w:p>
        </w:tc>
        <w:tc>
          <w:tcPr>
            <w:tcW w:w="2175" w:type="dxa"/>
            <w:vMerge w:val="restart"/>
            <w:tcBorders>
              <w:top w:val="single" w:sz="4" w:space="0" w:color="auto"/>
              <w:left w:val="single" w:sz="4" w:space="0" w:color="auto"/>
              <w:bottom w:val="single" w:sz="4" w:space="0" w:color="auto"/>
              <w:right w:val="single" w:sz="4" w:space="0" w:color="auto"/>
            </w:tcBorders>
            <w:shd w:val="clear" w:color="000000" w:fill="00AF41"/>
            <w:vAlign w:val="center"/>
            <w:hideMark/>
          </w:tcPr>
          <w:p w14:paraId="03F5F68B"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 xml:space="preserve">Valid Data Capture for Monitoring Period (%) </w:t>
            </w:r>
          </w:p>
        </w:tc>
        <w:tc>
          <w:tcPr>
            <w:tcW w:w="2127" w:type="dxa"/>
            <w:vMerge w:val="restart"/>
            <w:tcBorders>
              <w:top w:val="single" w:sz="4" w:space="0" w:color="auto"/>
              <w:left w:val="single" w:sz="4" w:space="0" w:color="auto"/>
              <w:bottom w:val="single" w:sz="4" w:space="0" w:color="auto"/>
              <w:right w:val="single" w:sz="4" w:space="0" w:color="auto"/>
            </w:tcBorders>
            <w:shd w:val="clear" w:color="000000" w:fill="00AF41"/>
            <w:vAlign w:val="center"/>
            <w:hideMark/>
          </w:tcPr>
          <w:p w14:paraId="0DFFEE24"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Valid Data Capture 2020 (%)</w:t>
            </w:r>
          </w:p>
        </w:tc>
        <w:tc>
          <w:tcPr>
            <w:tcW w:w="4493" w:type="dxa"/>
            <w:gridSpan w:val="5"/>
            <w:tcBorders>
              <w:top w:val="single" w:sz="4" w:space="0" w:color="auto"/>
              <w:left w:val="nil"/>
              <w:bottom w:val="single" w:sz="4" w:space="0" w:color="auto"/>
              <w:right w:val="single" w:sz="4" w:space="0" w:color="auto"/>
            </w:tcBorders>
            <w:shd w:val="clear" w:color="000000" w:fill="00AF41"/>
            <w:vAlign w:val="center"/>
            <w:hideMark/>
          </w:tcPr>
          <w:p w14:paraId="2E5FA509"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NO</w:t>
            </w:r>
            <w:r w:rsidRPr="00210C4A">
              <w:rPr>
                <w:rFonts w:eastAsia="Times New Roman" w:cs="Arial"/>
                <w:b/>
                <w:bCs/>
                <w:color w:val="FFFFFF"/>
                <w:sz w:val="20"/>
                <w:szCs w:val="20"/>
                <w:vertAlign w:val="subscript"/>
                <w:lang w:eastAsia="en-GB"/>
              </w:rPr>
              <w:t>2</w:t>
            </w:r>
            <w:r w:rsidRPr="00210C4A">
              <w:rPr>
                <w:rFonts w:eastAsia="Times New Roman" w:cs="Arial"/>
                <w:b/>
                <w:bCs/>
                <w:color w:val="FFFFFF"/>
                <w:sz w:val="20"/>
                <w:szCs w:val="20"/>
                <w:lang w:eastAsia="en-GB"/>
              </w:rPr>
              <w:t xml:space="preserve"> Annual Mean Concentration (µg/m</w:t>
            </w:r>
            <w:r w:rsidRPr="00210C4A">
              <w:rPr>
                <w:rFonts w:eastAsia="Times New Roman" w:cs="Arial"/>
                <w:b/>
                <w:bCs/>
                <w:color w:val="FFFFFF"/>
                <w:sz w:val="20"/>
                <w:szCs w:val="20"/>
                <w:vertAlign w:val="superscript"/>
                <w:lang w:eastAsia="en-GB"/>
              </w:rPr>
              <w:t>3</w:t>
            </w:r>
            <w:r w:rsidRPr="00210C4A">
              <w:rPr>
                <w:rFonts w:eastAsia="Times New Roman" w:cs="Arial"/>
                <w:b/>
                <w:bCs/>
                <w:color w:val="FFFFFF"/>
                <w:sz w:val="20"/>
                <w:szCs w:val="20"/>
                <w:lang w:eastAsia="en-GB"/>
              </w:rPr>
              <w:t>)</w:t>
            </w:r>
          </w:p>
        </w:tc>
      </w:tr>
      <w:tr w:rsidR="00CF15F5" w:rsidRPr="00210C4A" w14:paraId="22EFFBCE" w14:textId="77777777" w:rsidTr="00C1564F">
        <w:trPr>
          <w:trHeight w:val="375"/>
        </w:trPr>
        <w:tc>
          <w:tcPr>
            <w:tcW w:w="1083" w:type="dxa"/>
            <w:vMerge/>
            <w:tcBorders>
              <w:top w:val="single" w:sz="4" w:space="0" w:color="auto"/>
              <w:left w:val="single" w:sz="4" w:space="0" w:color="auto"/>
              <w:bottom w:val="single" w:sz="4" w:space="0" w:color="auto"/>
              <w:right w:val="single" w:sz="4" w:space="0" w:color="auto"/>
            </w:tcBorders>
            <w:vAlign w:val="center"/>
            <w:hideMark/>
          </w:tcPr>
          <w:p w14:paraId="27906791" w14:textId="77777777" w:rsidR="00CF15F5" w:rsidRPr="00210C4A" w:rsidRDefault="00CF15F5" w:rsidP="00DC476D">
            <w:pPr>
              <w:spacing w:before="0" w:after="0" w:line="240" w:lineRule="auto"/>
              <w:rPr>
                <w:rFonts w:eastAsia="Times New Roman" w:cs="Arial"/>
                <w:b/>
                <w:bCs/>
                <w:color w:val="FFFFFF"/>
                <w:sz w:val="20"/>
                <w:szCs w:val="20"/>
                <w:lang w:eastAsia="en-GB"/>
              </w:rPr>
            </w:pPr>
          </w:p>
        </w:tc>
        <w:tc>
          <w:tcPr>
            <w:tcW w:w="1316" w:type="dxa"/>
            <w:vMerge/>
            <w:tcBorders>
              <w:top w:val="single" w:sz="4" w:space="0" w:color="auto"/>
              <w:left w:val="single" w:sz="4" w:space="0" w:color="auto"/>
              <w:bottom w:val="single" w:sz="4" w:space="0" w:color="auto"/>
              <w:right w:val="single" w:sz="4" w:space="0" w:color="auto"/>
            </w:tcBorders>
            <w:vAlign w:val="center"/>
            <w:hideMark/>
          </w:tcPr>
          <w:p w14:paraId="69E1F134" w14:textId="77777777" w:rsidR="00CF15F5" w:rsidRPr="00210C4A" w:rsidRDefault="00CF15F5" w:rsidP="00DC476D">
            <w:pPr>
              <w:spacing w:before="0" w:after="0" w:line="240" w:lineRule="auto"/>
              <w:rPr>
                <w:rFonts w:eastAsia="Times New Roman" w:cs="Arial"/>
                <w:b/>
                <w:bCs/>
                <w:color w:val="FFFFFF"/>
                <w:sz w:val="20"/>
                <w:szCs w:val="20"/>
                <w:lang w:eastAsia="en-GB"/>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1BEF3554" w14:textId="77777777" w:rsidR="00CF15F5" w:rsidRPr="00210C4A" w:rsidRDefault="00CF15F5" w:rsidP="00DC476D">
            <w:pPr>
              <w:spacing w:before="0" w:after="0" w:line="240" w:lineRule="auto"/>
              <w:rPr>
                <w:rFonts w:eastAsia="Times New Roman" w:cs="Arial"/>
                <w:b/>
                <w:bCs/>
                <w:color w:val="FFFFFF"/>
                <w:sz w:val="20"/>
                <w:szCs w:val="20"/>
                <w:lang w:eastAsia="en-GB"/>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42DD9E66" w14:textId="77777777" w:rsidR="00CF15F5" w:rsidRPr="00210C4A" w:rsidRDefault="00CF15F5" w:rsidP="00DC476D">
            <w:pPr>
              <w:spacing w:before="0" w:after="0" w:line="240" w:lineRule="auto"/>
              <w:rPr>
                <w:rFonts w:eastAsia="Times New Roman" w:cs="Arial"/>
                <w:b/>
                <w:bCs/>
                <w:color w:val="FFFFFF"/>
                <w:sz w:val="20"/>
                <w:szCs w:val="20"/>
                <w:lang w:eastAsia="en-GB"/>
              </w:rPr>
            </w:pPr>
          </w:p>
        </w:tc>
        <w:tc>
          <w:tcPr>
            <w:tcW w:w="2175" w:type="dxa"/>
            <w:vMerge/>
            <w:tcBorders>
              <w:top w:val="single" w:sz="4" w:space="0" w:color="auto"/>
              <w:left w:val="single" w:sz="4" w:space="0" w:color="auto"/>
              <w:bottom w:val="single" w:sz="4" w:space="0" w:color="auto"/>
              <w:right w:val="single" w:sz="4" w:space="0" w:color="auto"/>
            </w:tcBorders>
            <w:vAlign w:val="center"/>
            <w:hideMark/>
          </w:tcPr>
          <w:p w14:paraId="4B128273" w14:textId="77777777" w:rsidR="00CF15F5" w:rsidRPr="00210C4A" w:rsidRDefault="00CF15F5" w:rsidP="00DC476D">
            <w:pPr>
              <w:spacing w:before="0" w:after="0" w:line="240" w:lineRule="auto"/>
              <w:rPr>
                <w:rFonts w:eastAsia="Times New Roman" w:cs="Arial"/>
                <w:b/>
                <w:bCs/>
                <w:color w:val="FFFFFF"/>
                <w:sz w:val="20"/>
                <w:szCs w:val="20"/>
                <w:lang w:eastAsia="en-GB"/>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02355FD" w14:textId="77777777" w:rsidR="00CF15F5" w:rsidRPr="00210C4A" w:rsidRDefault="00CF15F5" w:rsidP="00DC476D">
            <w:pPr>
              <w:spacing w:before="0" w:after="0" w:line="240" w:lineRule="auto"/>
              <w:rPr>
                <w:rFonts w:eastAsia="Times New Roman" w:cs="Arial"/>
                <w:b/>
                <w:bCs/>
                <w:color w:val="FFFFFF"/>
                <w:sz w:val="20"/>
                <w:szCs w:val="20"/>
                <w:lang w:eastAsia="en-GB"/>
              </w:rPr>
            </w:pPr>
          </w:p>
        </w:tc>
        <w:tc>
          <w:tcPr>
            <w:tcW w:w="896" w:type="dxa"/>
            <w:tcBorders>
              <w:top w:val="nil"/>
              <w:left w:val="nil"/>
              <w:bottom w:val="single" w:sz="4" w:space="0" w:color="auto"/>
              <w:right w:val="single" w:sz="4" w:space="0" w:color="auto"/>
            </w:tcBorders>
            <w:shd w:val="clear" w:color="000000" w:fill="00AF41"/>
            <w:vAlign w:val="center"/>
            <w:hideMark/>
          </w:tcPr>
          <w:p w14:paraId="06A68715"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2016</w:t>
            </w:r>
          </w:p>
        </w:tc>
        <w:tc>
          <w:tcPr>
            <w:tcW w:w="895" w:type="dxa"/>
            <w:tcBorders>
              <w:top w:val="nil"/>
              <w:left w:val="nil"/>
              <w:bottom w:val="single" w:sz="4" w:space="0" w:color="auto"/>
              <w:right w:val="single" w:sz="4" w:space="0" w:color="auto"/>
            </w:tcBorders>
            <w:shd w:val="clear" w:color="000000" w:fill="00AF41"/>
            <w:vAlign w:val="center"/>
            <w:hideMark/>
          </w:tcPr>
          <w:p w14:paraId="3D98DEA3"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2017</w:t>
            </w:r>
          </w:p>
        </w:tc>
        <w:tc>
          <w:tcPr>
            <w:tcW w:w="896" w:type="dxa"/>
            <w:tcBorders>
              <w:top w:val="nil"/>
              <w:left w:val="nil"/>
              <w:bottom w:val="single" w:sz="4" w:space="0" w:color="auto"/>
              <w:right w:val="single" w:sz="4" w:space="0" w:color="auto"/>
            </w:tcBorders>
            <w:shd w:val="clear" w:color="000000" w:fill="00AF41"/>
            <w:vAlign w:val="center"/>
            <w:hideMark/>
          </w:tcPr>
          <w:p w14:paraId="2CA1DAEC"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2018</w:t>
            </w:r>
          </w:p>
        </w:tc>
        <w:tc>
          <w:tcPr>
            <w:tcW w:w="938" w:type="dxa"/>
            <w:tcBorders>
              <w:top w:val="nil"/>
              <w:left w:val="nil"/>
              <w:bottom w:val="single" w:sz="4" w:space="0" w:color="auto"/>
              <w:right w:val="single" w:sz="4" w:space="0" w:color="auto"/>
            </w:tcBorders>
            <w:shd w:val="clear" w:color="000000" w:fill="00AF41"/>
            <w:vAlign w:val="center"/>
            <w:hideMark/>
          </w:tcPr>
          <w:p w14:paraId="5858630E"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2019</w:t>
            </w:r>
          </w:p>
        </w:tc>
        <w:tc>
          <w:tcPr>
            <w:tcW w:w="868" w:type="dxa"/>
            <w:tcBorders>
              <w:top w:val="nil"/>
              <w:left w:val="nil"/>
              <w:bottom w:val="single" w:sz="4" w:space="0" w:color="auto"/>
              <w:right w:val="single" w:sz="4" w:space="0" w:color="auto"/>
            </w:tcBorders>
            <w:shd w:val="clear" w:color="000000" w:fill="00AF41"/>
            <w:vAlign w:val="center"/>
            <w:hideMark/>
          </w:tcPr>
          <w:p w14:paraId="51DCE953" w14:textId="77777777" w:rsidR="00CF15F5" w:rsidRPr="00210C4A" w:rsidRDefault="00CF15F5" w:rsidP="00DC476D">
            <w:pPr>
              <w:spacing w:before="0" w:after="0" w:line="240" w:lineRule="auto"/>
              <w:jc w:val="center"/>
              <w:rPr>
                <w:rFonts w:eastAsia="Times New Roman" w:cs="Arial"/>
                <w:b/>
                <w:bCs/>
                <w:color w:val="FFFFFF"/>
                <w:sz w:val="20"/>
                <w:szCs w:val="20"/>
                <w:lang w:eastAsia="en-GB"/>
              </w:rPr>
            </w:pPr>
            <w:r w:rsidRPr="00210C4A">
              <w:rPr>
                <w:rFonts w:eastAsia="Times New Roman" w:cs="Arial"/>
                <w:b/>
                <w:bCs/>
                <w:color w:val="FFFFFF"/>
                <w:sz w:val="20"/>
                <w:szCs w:val="20"/>
                <w:lang w:eastAsia="en-GB"/>
              </w:rPr>
              <w:t>2020</w:t>
            </w:r>
          </w:p>
        </w:tc>
      </w:tr>
      <w:tr w:rsidR="00557EF8" w:rsidRPr="00210C4A" w14:paraId="07C87981" w14:textId="77777777" w:rsidTr="009B37CB">
        <w:trPr>
          <w:trHeight w:val="705"/>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B9BE1D4"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33739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440820</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E6E93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561821</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8E7A2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33F16F28" w14:textId="1E03ECF1"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72.6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42197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72.6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D7AC1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30.0</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F1E19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25.9</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686BF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24.3</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03DF2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94492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20.9</w:t>
            </w:r>
          </w:p>
        </w:tc>
      </w:tr>
      <w:tr w:rsidR="00557EF8" w:rsidRPr="00210C4A" w14:paraId="0E5E723B"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0E9ECC8"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DT2</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2D80D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438542</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B5475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562321</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7EE97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79D0372D" w14:textId="17A5963F"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E1B73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3F0BE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37.6</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B882F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31.7</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854D1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28.8</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EA715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30.6</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0C2E7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23.8</w:t>
            </w:r>
          </w:p>
        </w:tc>
      </w:tr>
      <w:tr w:rsidR="00557EF8" w:rsidRPr="00210C4A" w14:paraId="05DF10A0"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850F85B"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549A5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438412</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B2E3C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562368</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D9757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677CB2E4" w14:textId="4681A74F"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65.5</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E7D26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65.5</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7FCA1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29.4</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793DF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21.5</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4BADA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20.3</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52005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19.7</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E2E7A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13.5</w:t>
            </w:r>
          </w:p>
        </w:tc>
      </w:tr>
      <w:tr w:rsidR="00557EF8" w:rsidRPr="00210C4A" w14:paraId="41F3308E"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98D7AE7"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DT4</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B0D34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437053</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A5F8B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561418</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43B84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2C028624" w14:textId="76FC52EB"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72.6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E0EBF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72.6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C866B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28.9</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19AFE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20.5</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7D416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19.5</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43C1A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19.8</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68C8F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14.7</w:t>
            </w:r>
          </w:p>
        </w:tc>
      </w:tr>
      <w:tr w:rsidR="00557EF8" w:rsidRPr="00210C4A" w14:paraId="3655604E"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99A9C97"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DT5</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76210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436528</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DCD62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561280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10E8F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3FC53DBE" w14:textId="4905FDAD"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DE73D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0F0CC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31.5</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6AB41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24.1</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8BC93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23.9</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B354A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23.7</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C2F59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18.1</w:t>
            </w:r>
          </w:p>
        </w:tc>
      </w:tr>
      <w:tr w:rsidR="00557EF8" w:rsidRPr="00210C4A" w14:paraId="1315111D"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045C59C5"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DT6</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EC8E5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436021</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1D8D2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561368</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BCDA1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4706DAA0" w14:textId="05E1BCE1"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77.8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FE102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77.8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BE94D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5FD81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31.9</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F1ACB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34.3</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7CCC5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34.2</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B70A5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21.8</w:t>
            </w:r>
          </w:p>
        </w:tc>
      </w:tr>
      <w:tr w:rsidR="00557EF8" w:rsidRPr="00210C4A" w14:paraId="01161FFD"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A3E4706"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DT7</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378194"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434623</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72E0C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561746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26469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676E6126" w14:textId="4017ADD9"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66.6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91D04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66.6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F0666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35.5</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96184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2E038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24.1</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49500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23.1</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908A4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17.4</w:t>
            </w:r>
          </w:p>
        </w:tc>
      </w:tr>
      <w:tr w:rsidR="00557EF8" w:rsidRPr="00210C4A" w14:paraId="2336F98A"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8D5DDFD"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DT8</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B20BC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433883</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7AA09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562644</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6EBB4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3E12B210" w14:textId="67753AD1"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45D68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447E5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AED1F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18.3</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B9400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21.0</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DA23D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21.1</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9D93A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16.2</w:t>
            </w:r>
          </w:p>
        </w:tc>
      </w:tr>
      <w:tr w:rsidR="00557EF8" w:rsidRPr="00210C4A" w14:paraId="1299D23B"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0F0FE4A0"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DT9</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C2782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433739</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8892E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562070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78E29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64989A0F" w14:textId="175E4DBA"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59.2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5B12E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59.2</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F21A5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EA3CD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21.7</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2C38B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21.3</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891BC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19.4</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FA68F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12.7</w:t>
            </w:r>
          </w:p>
        </w:tc>
      </w:tr>
      <w:tr w:rsidR="00557EF8" w:rsidRPr="00210C4A" w14:paraId="5EEC6252"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222D6A2"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DT10</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90DD5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430489</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88404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563058</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17A0D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14813969" w14:textId="17D89E55"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842F8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21668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38.2</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6814C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27.9</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F0E84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27.3</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0D016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FAC88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20.9</w:t>
            </w:r>
          </w:p>
        </w:tc>
      </w:tr>
      <w:tr w:rsidR="00557EF8" w:rsidRPr="00210C4A" w14:paraId="68651C62"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D84DE4C"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DT11</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50E2C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430540</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18A59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563425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96502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188DB307" w14:textId="6C3EDA79"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49.6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19C94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49.6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4B189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FBE98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24.0</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3A6CD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29.1</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6EE9B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23.3</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0921D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15.2</w:t>
            </w:r>
          </w:p>
        </w:tc>
      </w:tr>
      <w:tr w:rsidR="00557EF8" w:rsidRPr="00210C4A" w14:paraId="2C6C3B9A"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09FEDA89"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DT12</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1261B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430582</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3B2F7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563663</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99232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13E7569C" w14:textId="42504B9E"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59.5</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F2494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59.5</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F31CB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A24B9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18.9</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3B8E6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22.5</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D3642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21.0</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B7134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15.1</w:t>
            </w:r>
          </w:p>
        </w:tc>
      </w:tr>
      <w:tr w:rsidR="00557EF8" w:rsidRPr="00210C4A" w14:paraId="37535DBF"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F37597D"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DT13</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70E26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430976</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A9988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564378</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4C4A9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44D6E98F" w14:textId="1D71C963"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CAF74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7D40F4"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36.6</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31822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23.4</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5B87E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24.2</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7AAD4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25.1</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561AE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18.3</w:t>
            </w:r>
          </w:p>
        </w:tc>
      </w:tr>
      <w:tr w:rsidR="00557EF8" w:rsidRPr="00210C4A" w14:paraId="084D5D59"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44040F4"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DT14</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089EF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432393</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C6564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564994</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E8834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67017669" w14:textId="31479E67"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74.2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2893C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74.2</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B9256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34.9</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DC0B6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30.0</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AD358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26.2</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EA17E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26.3</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A335A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21.8</w:t>
            </w:r>
          </w:p>
        </w:tc>
      </w:tr>
      <w:tr w:rsidR="00557EF8" w:rsidRPr="00210C4A" w14:paraId="48F2D211"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B02DC7A"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DT15</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D0F03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432682</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9B404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565456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FE7BC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50E0394B" w14:textId="23949B2E"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66.6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02D99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72.6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61A26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28.9</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9F7C7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22.4</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76CC8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24.8</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913514"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23.8</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AE189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23.7</w:t>
            </w:r>
          </w:p>
        </w:tc>
      </w:tr>
      <w:tr w:rsidR="00557EF8" w:rsidRPr="00210C4A" w14:paraId="7496615A"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671B543"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DT16</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43921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433088</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47A85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565007</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12B9F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737461AA" w14:textId="1711EB50"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D3A50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6FCBF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32.6</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EFF62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24.4</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C31DF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24.6</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60965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26.2</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74881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18.2</w:t>
            </w:r>
          </w:p>
        </w:tc>
      </w:tr>
      <w:tr w:rsidR="00557EF8" w:rsidRPr="00210C4A" w14:paraId="2B79759F"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821A8F7"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DT17</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5BDB8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433658</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01B50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563497</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8B292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7EB6CC47" w14:textId="257D0700"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C7BD7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BBAFC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35.1</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535EA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63F69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30.6</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F75C8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31.4</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A5ECC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23.2</w:t>
            </w:r>
          </w:p>
        </w:tc>
      </w:tr>
      <w:tr w:rsidR="00557EF8" w:rsidRPr="00210C4A" w14:paraId="1C68A2CF"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DA21ABE"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DT18</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E8DDE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433698</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9538D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563825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B24ED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0486A968" w14:textId="4882418C"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1DA97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FAF3E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36.7</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6C9FB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23.4</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3725E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25.3</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B648F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24.0</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1A061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19.4</w:t>
            </w:r>
          </w:p>
        </w:tc>
      </w:tr>
      <w:tr w:rsidR="00557EF8" w:rsidRPr="00210C4A" w14:paraId="11EA9994"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53A9BBD"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DT19</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7598D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433780</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767C8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563692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95096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5A95DE79" w14:textId="48197AB1"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84BB1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0B751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33.8</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97011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33.4</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11A93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30.1</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94B4D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29.5</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EA4F2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21.4</w:t>
            </w:r>
          </w:p>
        </w:tc>
      </w:tr>
      <w:tr w:rsidR="00557EF8" w:rsidRPr="00210C4A" w14:paraId="4340D0AB"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0128E84"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DT20, DT21, DT22</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F2504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434068</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FF2E4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563695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9F3C3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03D730CE" w14:textId="1484A22F"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78024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FD88B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30.4</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736DD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28.9</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4986E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25.9</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C935C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26.3</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21798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20.2</w:t>
            </w:r>
          </w:p>
        </w:tc>
      </w:tr>
      <w:tr w:rsidR="00557EF8" w:rsidRPr="00210C4A" w14:paraId="05CF0DE1"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891FDAC"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DT23</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BD894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434326</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4726F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563728</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AE3C2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0C467206" w14:textId="3F4E9C4C"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75.1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90F91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75.1</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B0C7F1" w14:textId="037BB7D5"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34.2</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F32133" w14:textId="36764853"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24.2</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4D614A" w14:textId="00F45DD2"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27.5</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9A43D3" w14:textId="1617BE1E"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27.7</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28DDB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21.1</w:t>
            </w:r>
          </w:p>
        </w:tc>
      </w:tr>
      <w:tr w:rsidR="00557EF8" w:rsidRPr="00210C4A" w14:paraId="3A9CF6B3"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3541407"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DT24</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913F9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434297</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413ED4"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563934</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13FCB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31D1FC8D" w14:textId="45CEE46E"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D2769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1BDEF0" w14:textId="21E11355"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b/>
                <w:bCs/>
                <w:color w:val="000000"/>
                <w:sz w:val="22"/>
                <w:lang w:eastAsia="en-GB"/>
              </w:rPr>
              <w:t>40.6</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44687D" w14:textId="2BF36D04"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32.8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69724D" w14:textId="791C9CA2"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35.3</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52ED95" w14:textId="1914254A"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32.3</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713F7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24.6</w:t>
            </w:r>
          </w:p>
        </w:tc>
      </w:tr>
      <w:tr w:rsidR="00557EF8" w:rsidRPr="00210C4A" w14:paraId="591DA9A7"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2B10087"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DT25</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6E0A2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434376</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88E644"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563955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F6A5F4"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46496705" w14:textId="2D1E1B1E"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01FB7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17E29D" w14:textId="27109C42"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b/>
                <w:bCs/>
                <w:color w:val="000000"/>
                <w:sz w:val="22"/>
                <w:lang w:eastAsia="en-GB"/>
              </w:rPr>
              <w:t>41.9</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5D5C3B" w14:textId="22CACA18"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28.4</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A809F1" w14:textId="1E4B702B"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30.7</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923978" w14:textId="55C6B6B9"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29.3</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B37F0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22.4</w:t>
            </w:r>
          </w:p>
        </w:tc>
      </w:tr>
      <w:tr w:rsidR="00557EF8" w:rsidRPr="00210C4A" w14:paraId="104E1AB2"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20251A5"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DT26</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0308F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434298</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7B1C3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563970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F6E7F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612EA59B" w14:textId="7703087D"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941D4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33EAD6" w14:textId="59176777" w:rsidR="00557EF8" w:rsidRPr="00210C4A" w:rsidRDefault="00557EF8" w:rsidP="00557EF8">
            <w:pPr>
              <w:spacing w:before="0" w:after="0" w:line="240" w:lineRule="auto"/>
              <w:jc w:val="center"/>
              <w:rPr>
                <w:rFonts w:eastAsia="Times New Roman" w:cs="Arial"/>
                <w:b/>
                <w:bCs/>
                <w:color w:val="000000"/>
                <w:sz w:val="22"/>
                <w:lang w:eastAsia="en-GB"/>
              </w:rPr>
            </w:pPr>
            <w:r w:rsidRPr="00210C4A">
              <w:rPr>
                <w:rFonts w:eastAsia="Times New Roman" w:cs="Arial"/>
                <w:color w:val="000000"/>
                <w:sz w:val="22"/>
                <w:lang w:eastAsia="en-GB"/>
              </w:rPr>
              <w:t>32.2</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C4D682" w14:textId="192C3899"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28.0</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65E6A2" w14:textId="74356C41"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29.0</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4DB18A" w14:textId="12507986"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28.8</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A0C91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22.6</w:t>
            </w:r>
          </w:p>
        </w:tc>
      </w:tr>
      <w:tr w:rsidR="00557EF8" w:rsidRPr="00210C4A" w14:paraId="4F85A911"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F62D4C4"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DT27</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8927B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435321</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C5D57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564843</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9AEB9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5B4DE321" w14:textId="4A69A543"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0F503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84A991" w14:textId="67CD3B11" w:rsidR="00557EF8" w:rsidRPr="00210C4A" w:rsidRDefault="00557EF8" w:rsidP="00557EF8">
            <w:pPr>
              <w:spacing w:before="0" w:after="0" w:line="240" w:lineRule="auto"/>
              <w:jc w:val="center"/>
              <w:rPr>
                <w:rFonts w:eastAsia="Times New Roman" w:cs="Arial"/>
                <w:b/>
                <w:bCs/>
                <w:color w:val="000000"/>
                <w:sz w:val="22"/>
                <w:lang w:eastAsia="en-GB"/>
              </w:rPr>
            </w:pPr>
            <w:r w:rsidRPr="00210C4A">
              <w:rPr>
                <w:rFonts w:eastAsia="Times New Roman" w:cs="Arial"/>
                <w:b/>
                <w:bCs/>
                <w:color w:val="000000"/>
                <w:sz w:val="22"/>
                <w:lang w:eastAsia="en-GB"/>
              </w:rPr>
              <w:t>47.4</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69EEE1" w14:textId="47FF2CA0"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39.0</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FDE0FD" w14:textId="2F21583D"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38.8</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AD2D0B" w14:textId="7A5D6CC4"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38.1</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A5BE6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26.2</w:t>
            </w:r>
          </w:p>
        </w:tc>
      </w:tr>
      <w:tr w:rsidR="00557EF8" w:rsidRPr="00210C4A" w14:paraId="1FCE9272"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5B3C791"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DT28</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FBF01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435605</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35E00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565290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E0E96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0067D5DD" w14:textId="51F5CCF0"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75.6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843BE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75.6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FAE4BD" w14:textId="64998BFA"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34.1</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25E408" w14:textId="0323C4EE"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27.7</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A9B152" w14:textId="44E36FA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28.6</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0442EB" w14:textId="6A231751"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29.0</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88310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25.0</w:t>
            </w:r>
          </w:p>
        </w:tc>
      </w:tr>
      <w:tr w:rsidR="00557EF8" w:rsidRPr="00210C4A" w14:paraId="234937F9"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2D4E745"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DT29</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B9235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435926</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8CF82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564596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18B13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1A530B35" w14:textId="5DC3E59B"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61.9</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E1B8A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61.9</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750A86" w14:textId="10AE09F4" w:rsidR="00557EF8" w:rsidRPr="00210C4A" w:rsidRDefault="00557EF8" w:rsidP="00557EF8">
            <w:pPr>
              <w:spacing w:before="0" w:after="0" w:line="240" w:lineRule="auto"/>
              <w:jc w:val="center"/>
              <w:rPr>
                <w:rFonts w:eastAsia="Times New Roman" w:cs="Arial"/>
                <w:b/>
                <w:bCs/>
                <w:color w:val="000000"/>
                <w:sz w:val="22"/>
                <w:lang w:eastAsia="en-GB"/>
              </w:rPr>
            </w:pPr>
            <w:r w:rsidRPr="00210C4A">
              <w:rPr>
                <w:rFonts w:eastAsia="Times New Roman" w:cs="Arial"/>
                <w:color w:val="000000"/>
                <w:sz w:val="22"/>
                <w:lang w:eastAsia="en-GB"/>
              </w:rPr>
              <w:t>33.4</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219146" w14:textId="1A55DEAF"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32.2</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CECEB1" w14:textId="738FACF2"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34.5</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DC5936" w14:textId="69B7403C"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29.8</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57183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21.3</w:t>
            </w:r>
          </w:p>
        </w:tc>
      </w:tr>
      <w:tr w:rsidR="00557EF8" w:rsidRPr="00210C4A" w14:paraId="2DB0EA49"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AF50933"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DT30</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6EB6C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435987</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66D48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564647</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F4DA0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2E5DDA73" w14:textId="3F4C6405"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56.7</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922A5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56.7</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6E5CA3" w14:textId="3F278B76"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E4B2AF" w14:textId="76CA8293"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22.6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A79267" w14:textId="6D0A3E43"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33.9</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A8676A" w14:textId="4B93A46A"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32.6</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9419D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22.1</w:t>
            </w:r>
          </w:p>
        </w:tc>
      </w:tr>
      <w:tr w:rsidR="00557EF8" w:rsidRPr="00210C4A" w14:paraId="3CF708E0"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718B26E"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DT31</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8223D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435959</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A5CEF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564470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00B33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39E91423" w14:textId="70A5DF31"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74.2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B6488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74.2</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0A07CA" w14:textId="6BCB53FE"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39.8</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D99D8F" w14:textId="3B02EB92"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29.4</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7E543D" w14:textId="6F686776"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30.6</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72611C" w14:textId="665E96E0"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30.7</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04247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22.8</w:t>
            </w:r>
          </w:p>
        </w:tc>
      </w:tr>
      <w:tr w:rsidR="00557EF8" w:rsidRPr="00210C4A" w14:paraId="2D69117C"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C1C3C95"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DT32</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4D1DB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437540</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799314"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564355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0C367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21914E2A" w14:textId="267050AA"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69.6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70752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69.6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4C29F9" w14:textId="7F3744BE"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28.9</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F2FB24" w14:textId="0B6A4A9E"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27.0</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996B12" w14:textId="04B2666B"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25.8</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AD66F5" w14:textId="38E95D76"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24.1</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53A18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19.0</w:t>
            </w:r>
          </w:p>
        </w:tc>
      </w:tr>
      <w:tr w:rsidR="00557EF8" w:rsidRPr="00210C4A" w14:paraId="1CF435D5"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2D0A088"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DT33</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AB5D1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437819</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202E54"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564335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9E0B9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5C3010E6" w14:textId="3DD358F5"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23.6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052E5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D03AFD" w14:textId="56D71B01"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32.7</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73E542" w14:textId="03D3DF33"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28.3</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2EFDA6" w14:textId="436A1373"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28.2</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C5BFFE" w14:textId="594076E5"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26.9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634254"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19.5</w:t>
            </w:r>
          </w:p>
        </w:tc>
      </w:tr>
      <w:tr w:rsidR="00557EF8" w:rsidRPr="00210C4A" w14:paraId="62015366"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FC1F163"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DT34</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5647F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437010</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13C93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565873</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1C025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4E9209D6" w14:textId="7008889E"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902EE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6558A5" w14:textId="31A07A52"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37.6</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069945" w14:textId="2196A0AF"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36.6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32B20C" w14:textId="3764C81D"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32.7</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E5693A" w14:textId="1A02B865"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30.4</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029B0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23.3</w:t>
            </w:r>
          </w:p>
        </w:tc>
      </w:tr>
      <w:tr w:rsidR="00557EF8" w:rsidRPr="00210C4A" w14:paraId="7FAD07FF"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7E94851"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DT35</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884A9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436923</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A1F2F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565967</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F300D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6E731AE7" w14:textId="126DF888"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DC0D1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F04C2F" w14:textId="509A437E"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27.4</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A76C76" w14:textId="56C34E88"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25.9</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F8A5FB" w14:textId="682C204C"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26.7</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049A74" w14:textId="4C0B41C2"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A608D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19.2</w:t>
            </w:r>
          </w:p>
        </w:tc>
      </w:tr>
      <w:tr w:rsidR="00557EF8" w:rsidRPr="00210C4A" w14:paraId="0B00A749"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C18CC2E"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DT36</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5DD50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436727</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C16E7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566374</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B7A2A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7AE87959" w14:textId="1FE438DF"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76.2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84410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76.2</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BEBAB9" w14:textId="340F4708"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29.8</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0E329D" w14:textId="23E8DDE8"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29.2</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B857A0" w14:textId="0BBC6E5A"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29.2</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065D82" w14:textId="3E99E3BE"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30.1</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3E098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19.9</w:t>
            </w:r>
          </w:p>
        </w:tc>
      </w:tr>
      <w:tr w:rsidR="00557EF8" w:rsidRPr="00210C4A" w14:paraId="377734EB"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31E5F2E"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DT37</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36426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436216</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9D2E79"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566216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0CAA6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6CF11D95" w14:textId="11669716"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49.6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08CED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49.6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F510A9" w14:textId="389699B0"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b/>
                <w:bCs/>
                <w:color w:val="000000"/>
                <w:sz w:val="22"/>
                <w:lang w:eastAsia="en-GB"/>
              </w:rPr>
              <w:t>40.2</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8D0089" w14:textId="0C2DDB56"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32.8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5A32C7" w14:textId="0DB2E92D"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34.0</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5AE02C" w14:textId="04521961"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32.6</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56D6B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20.8</w:t>
            </w:r>
          </w:p>
        </w:tc>
      </w:tr>
      <w:tr w:rsidR="00557EF8" w:rsidRPr="00210C4A" w14:paraId="15672A7C"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335F582"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DT38</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1869C5"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436169</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9E99F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565876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86364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2DDD4AEA" w14:textId="27BED2D4"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8FB61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4899D2" w14:textId="247E4692"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41D97D" w14:textId="37DC6130"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22.6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418632" w14:textId="5A309742"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21.2</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C61AB0" w14:textId="2A2726B9"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18.9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FA825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17.6</w:t>
            </w:r>
          </w:p>
        </w:tc>
      </w:tr>
      <w:tr w:rsidR="00557EF8" w:rsidRPr="00210C4A" w14:paraId="44B01D74"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1D59996"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DT39</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71CE5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436098</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06621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565902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EE98F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126F6944" w14:textId="5EAACC75"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26234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234E60" w14:textId="53F68E3E" w:rsidR="00557EF8" w:rsidRPr="00210C4A" w:rsidRDefault="00557EF8" w:rsidP="00557EF8">
            <w:pPr>
              <w:spacing w:before="0" w:after="0" w:line="240" w:lineRule="auto"/>
              <w:jc w:val="center"/>
              <w:rPr>
                <w:rFonts w:eastAsia="Times New Roman" w:cs="Arial"/>
                <w:b/>
                <w:bCs/>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82A9F0" w14:textId="23F1708B"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25.7</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BE6022" w14:textId="78941E29"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24.1</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7AF39C" w14:textId="30146575"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27.5</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E079DE" w14:textId="77777777" w:rsidR="00557EF8" w:rsidRPr="00210C4A" w:rsidRDefault="00557EF8" w:rsidP="00557EF8">
            <w:pPr>
              <w:spacing w:before="0" w:after="0" w:line="240" w:lineRule="auto"/>
              <w:jc w:val="center"/>
              <w:rPr>
                <w:rFonts w:eastAsia="Times New Roman" w:cs="Arial"/>
                <w:b/>
                <w:bCs/>
                <w:color w:val="000000"/>
                <w:sz w:val="22"/>
                <w:lang w:eastAsia="en-GB"/>
              </w:rPr>
            </w:pPr>
            <w:r w:rsidRPr="00210C4A">
              <w:rPr>
                <w:rFonts w:eastAsia="Times New Roman" w:cs="Arial"/>
                <w:b/>
                <w:bCs/>
                <w:color w:val="000000"/>
                <w:sz w:val="22"/>
                <w:lang w:eastAsia="en-GB"/>
              </w:rPr>
              <w:t>-</w:t>
            </w:r>
          </w:p>
        </w:tc>
      </w:tr>
      <w:tr w:rsidR="00557EF8" w:rsidRPr="00210C4A" w14:paraId="71EE57D1"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366C2E2"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DT40</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4F267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436597</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83F00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567308</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9B66D3"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5BC48E48" w14:textId="59727C3E"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76.2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9353F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76.2</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0A306F" w14:textId="1E83A854"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29.3</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F0E126" w14:textId="36629AA4"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27.7</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FA4BF1" w14:textId="6BB57565"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26.7</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402DEB" w14:textId="70D54D68"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22.9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2E9A9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19.9</w:t>
            </w:r>
          </w:p>
        </w:tc>
      </w:tr>
      <w:tr w:rsidR="00557EF8" w:rsidRPr="00210C4A" w14:paraId="268534A3"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FABE482"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DT41</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6A4B88"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431428</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E0875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564493</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B59DE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3A786E35" w14:textId="18154B44"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28AA51"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1AAEB4" w14:textId="36951043"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AD21F4" w14:textId="311BAE9E"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FC836E" w14:textId="2F1032F4"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27.5</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4ADB1E" w14:textId="044B5415"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24.8</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C4E4A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19.2</w:t>
            </w:r>
          </w:p>
        </w:tc>
      </w:tr>
      <w:tr w:rsidR="00557EF8" w:rsidRPr="00210C4A" w14:paraId="3D43FCE8"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F4113C0"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DT42</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9F91FA"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436396</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B00CDF"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565012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EA93D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4835735F" w14:textId="03F52308"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97D11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3C2C93" w14:textId="700C9F2E"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86F478" w14:textId="4EB64E8C"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5D7D2D" w14:textId="15ADE3A8"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34.7</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982288" w14:textId="598BD00B"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30.8</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71869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23.3</w:t>
            </w:r>
          </w:p>
        </w:tc>
      </w:tr>
      <w:tr w:rsidR="00557EF8" w:rsidRPr="00210C4A" w14:paraId="3E83EE0A"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44A2BC4"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DT43</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7DF61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437161</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569BC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565572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A42AAC"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Roadside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3505AD20" w14:textId="6E4DADA4"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CF77A6"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2DE42B" w14:textId="51F9C45D"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974B71" w14:textId="6EE8F93F"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3617C6" w14:textId="235ECADD"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28.6</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3AEC15" w14:textId="3F49872A"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26.9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7FC3B7"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20.7</w:t>
            </w:r>
          </w:p>
        </w:tc>
      </w:tr>
      <w:tr w:rsidR="00557EF8" w:rsidRPr="00210C4A" w14:paraId="17D2EEEA" w14:textId="77777777" w:rsidTr="009B37CB">
        <w:trPr>
          <w:trHeight w:val="600"/>
        </w:trPr>
        <w:tc>
          <w:tcPr>
            <w:tcW w:w="108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64FD610" w14:textId="77777777" w:rsidR="00557EF8" w:rsidRPr="00A96B6F" w:rsidRDefault="00557EF8" w:rsidP="00557EF8">
            <w:pPr>
              <w:spacing w:before="0" w:after="0" w:line="240" w:lineRule="auto"/>
              <w:jc w:val="center"/>
              <w:rPr>
                <w:rFonts w:eastAsia="Times New Roman" w:cs="Arial"/>
                <w:color w:val="FFFFFF" w:themeColor="background1"/>
                <w:sz w:val="22"/>
                <w:lang w:eastAsia="en-GB"/>
              </w:rPr>
            </w:pPr>
            <w:r w:rsidRPr="00A96B6F">
              <w:rPr>
                <w:rFonts w:eastAsia="Times New Roman" w:cs="Arial"/>
                <w:color w:val="FFFFFF" w:themeColor="background1"/>
                <w:sz w:val="22"/>
                <w:lang w:eastAsia="en-GB"/>
              </w:rPr>
              <w:t>DT44</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D41B40"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436923</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262E42"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565967</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C962CE"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Kerbside</w:t>
            </w:r>
          </w:p>
        </w:tc>
        <w:tc>
          <w:tcPr>
            <w:tcW w:w="2175" w:type="dxa"/>
            <w:tcBorders>
              <w:top w:val="nil"/>
              <w:left w:val="single" w:sz="4" w:space="0" w:color="auto"/>
              <w:bottom w:val="single" w:sz="4" w:space="0" w:color="auto"/>
              <w:right w:val="single" w:sz="4" w:space="0" w:color="auto"/>
            </w:tcBorders>
            <w:shd w:val="clear" w:color="auto" w:fill="auto"/>
            <w:noWrap/>
            <w:vAlign w:val="center"/>
          </w:tcPr>
          <w:p w14:paraId="0EE067F5" w14:textId="350B4E36" w:rsidR="00557EF8" w:rsidRPr="00210C4A" w:rsidRDefault="00557EF8" w:rsidP="00557EF8">
            <w:pPr>
              <w:spacing w:before="0" w:after="0" w:line="240" w:lineRule="auto"/>
              <w:jc w:val="center"/>
              <w:rPr>
                <w:rFonts w:eastAsia="Times New Roman" w:cs="Arial"/>
                <w:color w:val="000000"/>
                <w:sz w:val="22"/>
                <w:lang w:eastAsia="en-GB"/>
              </w:rPr>
            </w:pPr>
            <w:r>
              <w:rPr>
                <w:rFonts w:cs="Arial"/>
                <w:color w:val="000000"/>
                <w:sz w:val="22"/>
              </w:rPr>
              <w:t>83.8</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00E3DD"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83.8</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328887" w14:textId="7D2DA6A0"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AC6475" w14:textId="4CB3140D"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 </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96A5EF" w14:textId="7B519FAE"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29.1</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689BF6" w14:textId="7BDB8F5A"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24.3</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3419EB" w14:textId="77777777" w:rsidR="00557EF8" w:rsidRPr="00210C4A" w:rsidRDefault="00557EF8" w:rsidP="00557EF8">
            <w:pPr>
              <w:spacing w:before="0" w:after="0" w:line="240" w:lineRule="auto"/>
              <w:jc w:val="center"/>
              <w:rPr>
                <w:rFonts w:eastAsia="Times New Roman" w:cs="Arial"/>
                <w:color w:val="000000"/>
                <w:sz w:val="22"/>
                <w:lang w:eastAsia="en-GB"/>
              </w:rPr>
            </w:pPr>
            <w:r w:rsidRPr="00210C4A">
              <w:rPr>
                <w:rFonts w:eastAsia="Times New Roman" w:cs="Arial"/>
                <w:color w:val="000000"/>
                <w:sz w:val="22"/>
                <w:lang w:eastAsia="en-GB"/>
              </w:rPr>
              <w:t>19.7</w:t>
            </w:r>
          </w:p>
        </w:tc>
      </w:tr>
    </w:tbl>
    <w:p w14:paraId="75DC8BE6" w14:textId="36B4F865" w:rsidR="00461D95" w:rsidRPr="00ED22FB" w:rsidRDefault="00461D95" w:rsidP="00461D95">
      <w:pPr>
        <w:spacing w:line="240" w:lineRule="auto"/>
        <w:rPr>
          <w:b/>
          <w:color w:val="FF0000"/>
        </w:rPr>
      </w:pPr>
    </w:p>
    <w:p w14:paraId="54CD7B33" w14:textId="4C5C5643" w:rsidR="00D17B44" w:rsidRDefault="00B6413C" w:rsidP="002A068B">
      <w:pPr>
        <w:spacing w:line="240" w:lineRule="auto"/>
        <w:rPr>
          <w:b/>
          <w:szCs w:val="20"/>
        </w:rPr>
      </w:pPr>
      <w:sdt>
        <w:sdtPr>
          <w:rPr>
            <w:color w:val="2B579A"/>
            <w:szCs w:val="20"/>
            <w:shd w:val="clear" w:color="auto" w:fill="E6E6E6"/>
          </w:rPr>
          <w:id w:val="-966189701"/>
          <w14:checkbox>
            <w14:checked w14:val="1"/>
            <w14:checkedState w14:val="2612" w14:font="MS Gothic"/>
            <w14:uncheckedState w14:val="2610" w14:font="MS Gothic"/>
          </w14:checkbox>
        </w:sdtPr>
        <w:sdtEndPr/>
        <w:sdtContent>
          <w:r w:rsidR="00CF15F5">
            <w:rPr>
              <w:rFonts w:ascii="MS Gothic" w:eastAsia="MS Gothic" w:hAnsi="MS Gothic" w:hint="eastAsia"/>
              <w:color w:val="2B579A"/>
              <w:szCs w:val="20"/>
              <w:shd w:val="clear" w:color="auto" w:fill="E6E6E6"/>
            </w:rPr>
            <w:t>☒</w:t>
          </w:r>
        </w:sdtContent>
      </w:sdt>
      <w:r w:rsidR="00D17B44" w:rsidRPr="00090C17">
        <w:rPr>
          <w:szCs w:val="20"/>
        </w:rPr>
        <w:t xml:space="preserve"> </w:t>
      </w:r>
      <w:r w:rsidR="00D17B44" w:rsidRPr="00090C17">
        <w:rPr>
          <w:b/>
          <w:szCs w:val="20"/>
        </w:rPr>
        <w:t>Annualisation has been conducted where data capture is &lt;75%</w:t>
      </w:r>
      <w:r w:rsidR="00D25005">
        <w:rPr>
          <w:b/>
          <w:szCs w:val="20"/>
        </w:rPr>
        <w:t xml:space="preserve"> and &gt;33% in line with LAQM.TG16</w:t>
      </w:r>
      <w:r w:rsidR="00CF15F5">
        <w:rPr>
          <w:b/>
          <w:szCs w:val="20"/>
        </w:rPr>
        <w:t>.</w:t>
      </w:r>
    </w:p>
    <w:p w14:paraId="01DF5F5A" w14:textId="3636492D" w:rsidR="00B967EC" w:rsidRPr="006F2229" w:rsidRDefault="00B6413C" w:rsidP="00B967EC">
      <w:pPr>
        <w:spacing w:line="240" w:lineRule="auto"/>
        <w:rPr>
          <w:szCs w:val="20"/>
        </w:rPr>
      </w:pPr>
      <w:sdt>
        <w:sdtPr>
          <w:rPr>
            <w:color w:val="2B579A"/>
            <w:szCs w:val="20"/>
            <w:shd w:val="clear" w:color="auto" w:fill="E6E6E6"/>
          </w:rPr>
          <w:id w:val="464701079"/>
          <w14:checkbox>
            <w14:checked w14:val="1"/>
            <w14:checkedState w14:val="2612" w14:font="MS Gothic"/>
            <w14:uncheckedState w14:val="2610" w14:font="MS Gothic"/>
          </w14:checkbox>
        </w:sdtPr>
        <w:sdtEndPr/>
        <w:sdtContent>
          <w:r w:rsidR="00CF15F5">
            <w:rPr>
              <w:rFonts w:ascii="MS Gothic" w:eastAsia="MS Gothic" w:hAnsi="MS Gothic" w:hint="eastAsia"/>
              <w:color w:val="2B579A"/>
              <w:szCs w:val="20"/>
              <w:shd w:val="clear" w:color="auto" w:fill="E6E6E6"/>
            </w:rPr>
            <w:t>☒</w:t>
          </w:r>
        </w:sdtContent>
      </w:sdt>
      <w:r w:rsidR="00B967EC" w:rsidRPr="006F2229">
        <w:rPr>
          <w:szCs w:val="20"/>
        </w:rPr>
        <w:t xml:space="preserve"> </w:t>
      </w:r>
      <w:r w:rsidR="00B967EC" w:rsidRPr="006F2229">
        <w:rPr>
          <w:b/>
          <w:szCs w:val="20"/>
        </w:rPr>
        <w:t xml:space="preserve">Diffusion tube data has been bias </w:t>
      </w:r>
      <w:r w:rsidR="00B967EC">
        <w:rPr>
          <w:b/>
          <w:szCs w:val="20"/>
        </w:rPr>
        <w:t>adjusted</w:t>
      </w:r>
      <w:r w:rsidR="00CF15F5">
        <w:rPr>
          <w:b/>
          <w:szCs w:val="20"/>
        </w:rPr>
        <w:t>.</w:t>
      </w:r>
    </w:p>
    <w:p w14:paraId="69FC3621" w14:textId="3F29B7D8" w:rsidR="00D17B44" w:rsidRPr="00090C17" w:rsidRDefault="00B6413C" w:rsidP="002A068B">
      <w:pPr>
        <w:spacing w:line="240" w:lineRule="auto"/>
        <w:rPr>
          <w:szCs w:val="20"/>
        </w:rPr>
      </w:pPr>
      <w:sdt>
        <w:sdtPr>
          <w:rPr>
            <w:color w:val="2B579A"/>
            <w:szCs w:val="20"/>
            <w:shd w:val="clear" w:color="auto" w:fill="E6E6E6"/>
          </w:rPr>
          <w:id w:val="1291866220"/>
          <w14:checkbox>
            <w14:checked w14:val="1"/>
            <w14:checkedState w14:val="2612" w14:font="MS Gothic"/>
            <w14:uncheckedState w14:val="2610" w14:font="MS Gothic"/>
          </w14:checkbox>
        </w:sdtPr>
        <w:sdtEndPr/>
        <w:sdtContent>
          <w:r w:rsidR="00CF15F5">
            <w:rPr>
              <w:rFonts w:ascii="MS Gothic" w:eastAsia="MS Gothic" w:hAnsi="MS Gothic" w:hint="eastAsia"/>
              <w:color w:val="2B579A"/>
              <w:szCs w:val="20"/>
              <w:shd w:val="clear" w:color="auto" w:fill="E6E6E6"/>
            </w:rPr>
            <w:t>☒</w:t>
          </w:r>
        </w:sdtContent>
      </w:sdt>
      <w:r w:rsidR="00D17B44" w:rsidRPr="00090C17">
        <w:rPr>
          <w:szCs w:val="20"/>
        </w:rPr>
        <w:t xml:space="preserve"> </w:t>
      </w:r>
      <w:r w:rsidR="00D17B44" w:rsidRPr="00090C17">
        <w:rPr>
          <w:b/>
          <w:szCs w:val="20"/>
        </w:rPr>
        <w:t xml:space="preserve">Reported concentrations are those at the location of the monitoring site (bias adjusted and annualised, as required), i.e. prior to any fall-off with distance </w:t>
      </w:r>
      <w:r w:rsidR="00D25005">
        <w:rPr>
          <w:b/>
          <w:szCs w:val="20"/>
        </w:rPr>
        <w:t>correction</w:t>
      </w:r>
      <w:r w:rsidR="00CF15F5">
        <w:rPr>
          <w:b/>
          <w:szCs w:val="20"/>
        </w:rPr>
        <w:t>.</w:t>
      </w:r>
    </w:p>
    <w:p w14:paraId="0BB591B1" w14:textId="77777777" w:rsidR="00942256" w:rsidRPr="00090C17" w:rsidRDefault="00942256" w:rsidP="002A068B">
      <w:pPr>
        <w:spacing w:line="240" w:lineRule="auto"/>
        <w:rPr>
          <w:b/>
        </w:rPr>
      </w:pPr>
      <w:r w:rsidRPr="00090C17">
        <w:rPr>
          <w:b/>
        </w:rPr>
        <w:t>Notes:</w:t>
      </w:r>
    </w:p>
    <w:p w14:paraId="50FF47D9" w14:textId="5D0E8B21" w:rsidR="00090C17" w:rsidRPr="00090C17" w:rsidRDefault="00116942" w:rsidP="002A068B">
      <w:pPr>
        <w:spacing w:line="240" w:lineRule="auto"/>
      </w:pPr>
      <w:r>
        <w:t>The annual mean concentrations</w:t>
      </w:r>
      <w:r w:rsidR="00786EB7">
        <w:t xml:space="preserve"> are presented as </w:t>
      </w:r>
      <w:r w:rsidR="00786EB7">
        <w:rPr>
          <w:rFonts w:cs="Arial"/>
        </w:rPr>
        <w:t>µ</w:t>
      </w:r>
      <w:r w:rsidR="00786EB7">
        <w:t>g/m</w:t>
      </w:r>
      <w:r w:rsidR="00786EB7">
        <w:rPr>
          <w:vertAlign w:val="superscript"/>
        </w:rPr>
        <w:t>3</w:t>
      </w:r>
      <w:r w:rsidR="00090C17" w:rsidRPr="00090C17">
        <w:t>.</w:t>
      </w:r>
    </w:p>
    <w:p w14:paraId="4FA2F6E3" w14:textId="77777777" w:rsidR="00942256" w:rsidRPr="00090C17" w:rsidRDefault="00942256" w:rsidP="002A068B">
      <w:pPr>
        <w:spacing w:line="240" w:lineRule="auto"/>
      </w:pPr>
      <w:r w:rsidRPr="00090C17">
        <w:t>Exceedances of the NO</w:t>
      </w:r>
      <w:r w:rsidRPr="00090C17">
        <w:rPr>
          <w:vertAlign w:val="subscript"/>
        </w:rPr>
        <w:t>2</w:t>
      </w:r>
      <w:r w:rsidRPr="00090C17">
        <w:t xml:space="preserve"> annual mean objective of 40µg/m</w:t>
      </w:r>
      <w:r w:rsidRPr="00090C17">
        <w:rPr>
          <w:vertAlign w:val="superscript"/>
        </w:rPr>
        <w:t>3</w:t>
      </w:r>
      <w:r w:rsidRPr="00090C17">
        <w:t xml:space="preserve"> are shown in </w:t>
      </w:r>
      <w:r w:rsidRPr="00090C17">
        <w:rPr>
          <w:b/>
        </w:rPr>
        <w:t>bold</w:t>
      </w:r>
      <w:r w:rsidRPr="00090C17">
        <w:t>.</w:t>
      </w:r>
    </w:p>
    <w:p w14:paraId="39E63629" w14:textId="17BB66E0" w:rsidR="00942256" w:rsidRDefault="00942256" w:rsidP="002A068B">
      <w:pPr>
        <w:spacing w:line="240" w:lineRule="auto"/>
      </w:pPr>
      <w:r w:rsidRPr="00090C17">
        <w:t>NO</w:t>
      </w:r>
      <w:r w:rsidRPr="00090C17">
        <w:rPr>
          <w:vertAlign w:val="subscript"/>
        </w:rPr>
        <w:t>2</w:t>
      </w:r>
      <w:r w:rsidRPr="00090C17">
        <w:t xml:space="preserve"> annual means exceeding 60µg/m</w:t>
      </w:r>
      <w:r w:rsidRPr="00090C17">
        <w:rPr>
          <w:vertAlign w:val="superscript"/>
        </w:rPr>
        <w:t>3</w:t>
      </w:r>
      <w:r w:rsidRPr="00090C17">
        <w:t>, indicating a potential exceedance of the NO</w:t>
      </w:r>
      <w:r w:rsidRPr="00090C17">
        <w:rPr>
          <w:vertAlign w:val="subscript"/>
        </w:rPr>
        <w:t>2</w:t>
      </w:r>
      <w:r w:rsidRPr="00090C17">
        <w:t xml:space="preserve"> 1-hour mean objective are shown in </w:t>
      </w:r>
      <w:r w:rsidRPr="00090C17">
        <w:rPr>
          <w:b/>
          <w:u w:val="single"/>
        </w:rPr>
        <w:t>bold and underlined</w:t>
      </w:r>
      <w:r w:rsidRPr="00090C17">
        <w:t>.</w:t>
      </w:r>
    </w:p>
    <w:p w14:paraId="0B665973" w14:textId="24D87EF2" w:rsidR="00564B48" w:rsidRDefault="00564B48" w:rsidP="002A068B">
      <w:pPr>
        <w:spacing w:line="240" w:lineRule="auto"/>
        <w:rPr>
          <w:bCs/>
        </w:rPr>
      </w:pPr>
      <w:r w:rsidRPr="00564B48">
        <w:rPr>
          <w:bCs/>
        </w:rPr>
        <w:t xml:space="preserve">Means for diffusion tubes have been corrected for bias. All means have been “annualised” as </w:t>
      </w:r>
      <w:r w:rsidR="00EB2D00">
        <w:rPr>
          <w:bCs/>
        </w:rPr>
        <w:t xml:space="preserve">per </w:t>
      </w:r>
      <w:r w:rsidRPr="00564B48">
        <w:rPr>
          <w:bCs/>
        </w:rPr>
        <w:t xml:space="preserve">LAQM.TG16 if valid data capture for the full calendar year is less than 75%. See </w:t>
      </w:r>
      <w:hyperlink w:anchor="_Appendix_C:_Supporting" w:history="1">
        <w:r w:rsidRPr="00564B48">
          <w:t>Appendix C</w:t>
        </w:r>
      </w:hyperlink>
      <w:r w:rsidRPr="00564B48">
        <w:rPr>
          <w:bCs/>
        </w:rPr>
        <w:t xml:space="preserve"> for details.</w:t>
      </w:r>
    </w:p>
    <w:p w14:paraId="09E3F518" w14:textId="1EA5EA07" w:rsidR="00564B48" w:rsidRPr="00564B48" w:rsidRDefault="00564B48" w:rsidP="002A068B">
      <w:pPr>
        <w:spacing w:line="240" w:lineRule="auto"/>
        <w:rPr>
          <w:bCs/>
        </w:rPr>
      </w:pPr>
      <w:r w:rsidRPr="00564B48">
        <w:rPr>
          <w:bCs/>
        </w:rPr>
        <w:t>Concentrations are those at the location of monitoring and not those following any fall-off with distance adjustment.</w:t>
      </w:r>
    </w:p>
    <w:p w14:paraId="4FB8989D" w14:textId="77777777" w:rsidR="00942256" w:rsidRPr="00090C17" w:rsidRDefault="00942256" w:rsidP="002A068B">
      <w:pPr>
        <w:spacing w:line="240" w:lineRule="auto"/>
      </w:pPr>
      <w:r w:rsidRPr="00090C17">
        <w:t>(1) Data capture for the monitoring period, in cases where monitoring was only carried out for part of the year.</w:t>
      </w:r>
    </w:p>
    <w:p w14:paraId="77C39114" w14:textId="77777777" w:rsidR="00942256" w:rsidRDefault="00942256" w:rsidP="002A068B">
      <w:pPr>
        <w:spacing w:line="240" w:lineRule="auto"/>
      </w:pPr>
      <w:r w:rsidRPr="00090C17">
        <w:t>(2) Data capture for the full calendar year (e.g. if monitoring was carried out for 6 months, the maximum data capture for the full calendar year is 50%).</w:t>
      </w:r>
    </w:p>
    <w:p w14:paraId="261362A1" w14:textId="77777777" w:rsidR="00D17B44" w:rsidRDefault="00D17B44" w:rsidP="00400B0F">
      <w:pPr>
        <w:spacing w:before="0" w:after="0"/>
      </w:pPr>
      <w:r>
        <w:br w:type="page"/>
      </w:r>
    </w:p>
    <w:p w14:paraId="3AB5F749" w14:textId="3D753A6F" w:rsidR="0087489B" w:rsidRDefault="00D17B44" w:rsidP="0087489B">
      <w:pPr>
        <w:pStyle w:val="Caption"/>
      </w:pPr>
      <w:bookmarkStart w:id="76" w:name="_Ref67664028"/>
      <w:bookmarkStart w:id="77" w:name="_Hlk74580611"/>
      <w:bookmarkStart w:id="78" w:name="_Toc74755615"/>
      <w:r>
        <w:t xml:space="preserve">Figure </w:t>
      </w:r>
      <w:r w:rsidR="00742944">
        <w:rPr>
          <w:color w:val="2B579A"/>
          <w:shd w:val="clear" w:color="auto" w:fill="E6E6E6"/>
        </w:rPr>
        <w:fldChar w:fldCharType="begin"/>
      </w:r>
      <w:r w:rsidR="00742944">
        <w:rPr>
          <w:noProof/>
        </w:rPr>
        <w:instrText xml:space="preserve"> SEQ Figure_A \* ARABIC </w:instrText>
      </w:r>
      <w:r w:rsidR="00742944">
        <w:rPr>
          <w:color w:val="2B579A"/>
          <w:shd w:val="clear" w:color="auto" w:fill="E6E6E6"/>
        </w:rPr>
        <w:fldChar w:fldCharType="separate"/>
      </w:r>
      <w:r w:rsidR="0062374A">
        <w:rPr>
          <w:noProof/>
        </w:rPr>
        <w:t>1</w:t>
      </w:r>
      <w:r w:rsidR="00742944">
        <w:rPr>
          <w:color w:val="2B579A"/>
          <w:shd w:val="clear" w:color="auto" w:fill="E6E6E6"/>
        </w:rPr>
        <w:fldChar w:fldCharType="end"/>
      </w:r>
      <w:bookmarkEnd w:id="76"/>
      <w:r w:rsidR="005A35FC">
        <w:rPr>
          <w:color w:val="2B579A"/>
          <w:shd w:val="clear" w:color="auto" w:fill="E6E6E6"/>
        </w:rPr>
        <w:t>.1</w:t>
      </w:r>
      <w:r>
        <w:t xml:space="preserve"> – </w:t>
      </w:r>
      <w:r w:rsidRPr="00C90862">
        <w:t>Trends in Annual Mean NO</w:t>
      </w:r>
      <w:r w:rsidRPr="00C90862">
        <w:rPr>
          <w:vertAlign w:val="subscript"/>
        </w:rPr>
        <w:t>2</w:t>
      </w:r>
      <w:r w:rsidRPr="00C90862">
        <w:t xml:space="preserve"> Concentrations</w:t>
      </w:r>
      <w:r w:rsidR="005A35FC">
        <w:t xml:space="preserve"> – </w:t>
      </w:r>
      <w:r w:rsidR="0087489B" w:rsidRPr="0087489B">
        <w:t>Lindisfarne Roundabout/Leam Lane AQMA</w:t>
      </w:r>
    </w:p>
    <w:p w14:paraId="554F92E2" w14:textId="2B44D0F4" w:rsidR="009C5E87" w:rsidRPr="009C5E87" w:rsidRDefault="009C5E87" w:rsidP="009C5E87">
      <w:r>
        <w:rPr>
          <w:noProof/>
        </w:rPr>
        <w:drawing>
          <wp:inline distT="0" distB="0" distL="0" distR="0" wp14:anchorId="33000CFD" wp14:editId="3F4A0138">
            <wp:extent cx="8920716" cy="573683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30749" cy="5743284"/>
                    </a:xfrm>
                    <a:prstGeom prst="rect">
                      <a:avLst/>
                    </a:prstGeom>
                    <a:noFill/>
                  </pic:spPr>
                </pic:pic>
              </a:graphicData>
            </a:graphic>
          </wp:inline>
        </w:drawing>
      </w:r>
    </w:p>
    <w:p w14:paraId="7A0EBBC0" w14:textId="6CCC4AD8" w:rsidR="00AF57DD" w:rsidRDefault="00AF57DD" w:rsidP="00AF57DD">
      <w:pPr>
        <w:pStyle w:val="Caption"/>
      </w:pPr>
      <w:bookmarkStart w:id="79" w:name="_Toc74755616"/>
      <w:bookmarkEnd w:id="77"/>
      <w:bookmarkEnd w:id="78"/>
      <w:r>
        <w:t xml:space="preserve">Figure </w:t>
      </w:r>
      <w:r>
        <w:rPr>
          <w:color w:val="2B579A"/>
          <w:shd w:val="clear" w:color="auto" w:fill="E6E6E6"/>
        </w:rPr>
        <w:fldChar w:fldCharType="begin"/>
      </w:r>
      <w:r>
        <w:rPr>
          <w:noProof/>
        </w:rPr>
        <w:instrText xml:space="preserve"> SEQ Figure_A \* ARABIC </w:instrText>
      </w:r>
      <w:r>
        <w:rPr>
          <w:color w:val="2B579A"/>
          <w:shd w:val="clear" w:color="auto" w:fill="E6E6E6"/>
        </w:rPr>
        <w:fldChar w:fldCharType="separate"/>
      </w:r>
      <w:r>
        <w:rPr>
          <w:noProof/>
        </w:rPr>
        <w:t>1</w:t>
      </w:r>
      <w:r>
        <w:rPr>
          <w:color w:val="2B579A"/>
          <w:shd w:val="clear" w:color="auto" w:fill="E6E6E6"/>
        </w:rPr>
        <w:fldChar w:fldCharType="end"/>
      </w:r>
      <w:r>
        <w:rPr>
          <w:color w:val="2B579A"/>
          <w:shd w:val="clear" w:color="auto" w:fill="E6E6E6"/>
        </w:rPr>
        <w:t>.2</w:t>
      </w:r>
      <w:r>
        <w:t xml:space="preserve"> – </w:t>
      </w:r>
      <w:r w:rsidRPr="00C90862">
        <w:t>Trends in Annual Mean NO</w:t>
      </w:r>
      <w:r w:rsidRPr="00C90862">
        <w:rPr>
          <w:vertAlign w:val="subscript"/>
        </w:rPr>
        <w:t>2</w:t>
      </w:r>
      <w:r w:rsidRPr="00C90862">
        <w:t xml:space="preserve"> Concentrations</w:t>
      </w:r>
      <w:r>
        <w:t xml:space="preserve"> – Boldon Lane AQMA</w:t>
      </w:r>
      <w:bookmarkEnd w:id="79"/>
    </w:p>
    <w:p w14:paraId="6B971D97" w14:textId="7460362E" w:rsidR="00D024C9" w:rsidRDefault="00A3731B" w:rsidP="005A35FC">
      <w:pPr>
        <w:pStyle w:val="Caption"/>
      </w:pPr>
      <w:r>
        <w:rPr>
          <w:noProof/>
        </w:rPr>
        <w:drawing>
          <wp:inline distT="0" distB="0" distL="0" distR="0" wp14:anchorId="2EEB41D8" wp14:editId="54766B77">
            <wp:extent cx="8555525" cy="5142794"/>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688313" cy="5222614"/>
                    </a:xfrm>
                    <a:prstGeom prst="rect">
                      <a:avLst/>
                    </a:prstGeom>
                    <a:noFill/>
                  </pic:spPr>
                </pic:pic>
              </a:graphicData>
            </a:graphic>
          </wp:inline>
        </w:drawing>
      </w:r>
    </w:p>
    <w:p w14:paraId="4CE64C55" w14:textId="4744F65B" w:rsidR="00AF57DD" w:rsidRDefault="00AF57DD" w:rsidP="00AF57DD">
      <w:pPr>
        <w:pStyle w:val="Caption"/>
      </w:pPr>
      <w:bookmarkStart w:id="80" w:name="_Toc74755617"/>
      <w:r>
        <w:t xml:space="preserve">Figure </w:t>
      </w:r>
      <w:r>
        <w:rPr>
          <w:color w:val="2B579A"/>
          <w:shd w:val="clear" w:color="auto" w:fill="E6E6E6"/>
        </w:rPr>
        <w:fldChar w:fldCharType="begin"/>
      </w:r>
      <w:r>
        <w:rPr>
          <w:noProof/>
        </w:rPr>
        <w:instrText xml:space="preserve"> SEQ Figure_A \* ARABIC </w:instrText>
      </w:r>
      <w:r>
        <w:rPr>
          <w:color w:val="2B579A"/>
          <w:shd w:val="clear" w:color="auto" w:fill="E6E6E6"/>
        </w:rPr>
        <w:fldChar w:fldCharType="separate"/>
      </w:r>
      <w:r>
        <w:rPr>
          <w:noProof/>
        </w:rPr>
        <w:t>1</w:t>
      </w:r>
      <w:r>
        <w:rPr>
          <w:color w:val="2B579A"/>
          <w:shd w:val="clear" w:color="auto" w:fill="E6E6E6"/>
        </w:rPr>
        <w:fldChar w:fldCharType="end"/>
      </w:r>
      <w:r>
        <w:rPr>
          <w:color w:val="2B579A"/>
          <w:shd w:val="clear" w:color="auto" w:fill="E6E6E6"/>
        </w:rPr>
        <w:t>.3</w:t>
      </w:r>
      <w:r>
        <w:t xml:space="preserve"> – </w:t>
      </w:r>
      <w:r w:rsidRPr="00C90862">
        <w:t>Trends in Annual Mean NO</w:t>
      </w:r>
      <w:r w:rsidRPr="00C90862">
        <w:rPr>
          <w:vertAlign w:val="subscript"/>
        </w:rPr>
        <w:t>2</w:t>
      </w:r>
      <w:r w:rsidRPr="00C90862">
        <w:t xml:space="preserve"> Concentrations</w:t>
      </w:r>
      <w:r>
        <w:t xml:space="preserve"> – Whitburn Cleadon and the Boldons</w:t>
      </w:r>
      <w:bookmarkEnd w:id="80"/>
    </w:p>
    <w:p w14:paraId="0005BA19" w14:textId="2A0B6A57" w:rsidR="00AC7197" w:rsidRDefault="00976ACA" w:rsidP="008F43D7">
      <w:pPr>
        <w:tabs>
          <w:tab w:val="left" w:pos="7363"/>
        </w:tabs>
        <w:spacing w:before="0" w:after="0"/>
        <w:jc w:val="center"/>
      </w:pPr>
      <w:r>
        <w:rPr>
          <w:noProof/>
        </w:rPr>
        <w:drawing>
          <wp:inline distT="0" distB="0" distL="0" distR="0" wp14:anchorId="0C10EB24" wp14:editId="3F3032F0">
            <wp:extent cx="9127145" cy="5486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199213" cy="5529721"/>
                    </a:xfrm>
                    <a:prstGeom prst="rect">
                      <a:avLst/>
                    </a:prstGeom>
                    <a:noFill/>
                  </pic:spPr>
                </pic:pic>
              </a:graphicData>
            </a:graphic>
          </wp:inline>
        </w:drawing>
      </w:r>
    </w:p>
    <w:p w14:paraId="68C54281" w14:textId="729536F0" w:rsidR="00976ACA" w:rsidRDefault="00976ACA" w:rsidP="008F43D7">
      <w:pPr>
        <w:tabs>
          <w:tab w:val="left" w:pos="7363"/>
        </w:tabs>
        <w:spacing w:before="0" w:after="0"/>
        <w:jc w:val="center"/>
      </w:pPr>
    </w:p>
    <w:p w14:paraId="0F62CD58" w14:textId="3719B749" w:rsidR="00AF57DD" w:rsidRDefault="00AF57DD" w:rsidP="00AF57DD">
      <w:pPr>
        <w:pStyle w:val="Caption"/>
      </w:pPr>
      <w:bookmarkStart w:id="81" w:name="_Toc74755618"/>
      <w:r>
        <w:t xml:space="preserve">Figure </w:t>
      </w:r>
      <w:r>
        <w:rPr>
          <w:color w:val="2B579A"/>
          <w:shd w:val="clear" w:color="auto" w:fill="E6E6E6"/>
        </w:rPr>
        <w:fldChar w:fldCharType="begin"/>
      </w:r>
      <w:r>
        <w:rPr>
          <w:noProof/>
        </w:rPr>
        <w:instrText xml:space="preserve"> SEQ Figure_A \* ARABIC </w:instrText>
      </w:r>
      <w:r>
        <w:rPr>
          <w:color w:val="2B579A"/>
          <w:shd w:val="clear" w:color="auto" w:fill="E6E6E6"/>
        </w:rPr>
        <w:fldChar w:fldCharType="separate"/>
      </w:r>
      <w:r>
        <w:rPr>
          <w:noProof/>
        </w:rPr>
        <w:t>1</w:t>
      </w:r>
      <w:r>
        <w:rPr>
          <w:color w:val="2B579A"/>
          <w:shd w:val="clear" w:color="auto" w:fill="E6E6E6"/>
        </w:rPr>
        <w:fldChar w:fldCharType="end"/>
      </w:r>
      <w:r>
        <w:rPr>
          <w:color w:val="2B579A"/>
          <w:shd w:val="clear" w:color="auto" w:fill="E6E6E6"/>
        </w:rPr>
        <w:t>.4</w:t>
      </w:r>
      <w:r>
        <w:t xml:space="preserve"> – </w:t>
      </w:r>
      <w:r w:rsidRPr="00C90862">
        <w:t>Trends in Annual Mean NO</w:t>
      </w:r>
      <w:r w:rsidRPr="00C90862">
        <w:rPr>
          <w:vertAlign w:val="subscript"/>
        </w:rPr>
        <w:t>2</w:t>
      </w:r>
      <w:r w:rsidRPr="00C90862">
        <w:t xml:space="preserve"> Concentrations</w:t>
      </w:r>
      <w:r>
        <w:t xml:space="preserve"> – Fellgate (for A19)</w:t>
      </w:r>
      <w:bookmarkEnd w:id="81"/>
    </w:p>
    <w:p w14:paraId="61697A7D" w14:textId="77777777" w:rsidR="00976ACA" w:rsidRDefault="00976ACA" w:rsidP="008F43D7">
      <w:pPr>
        <w:tabs>
          <w:tab w:val="left" w:pos="7363"/>
        </w:tabs>
        <w:spacing w:before="0" w:after="0"/>
        <w:jc w:val="center"/>
      </w:pPr>
    </w:p>
    <w:p w14:paraId="683500E4" w14:textId="0E16D585" w:rsidR="006425F1" w:rsidRDefault="006A449B" w:rsidP="00B216DF">
      <w:pPr>
        <w:tabs>
          <w:tab w:val="left" w:pos="7363"/>
        </w:tabs>
        <w:spacing w:before="0" w:after="0"/>
      </w:pPr>
      <w:r>
        <w:rPr>
          <w:noProof/>
        </w:rPr>
        <w:drawing>
          <wp:inline distT="0" distB="0" distL="0" distR="0" wp14:anchorId="6FED42F7" wp14:editId="04397E21">
            <wp:extent cx="9080626" cy="5458438"/>
            <wp:effectExtent l="0" t="0" r="635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66452" cy="5510029"/>
                    </a:xfrm>
                    <a:prstGeom prst="rect">
                      <a:avLst/>
                    </a:prstGeom>
                    <a:noFill/>
                  </pic:spPr>
                </pic:pic>
              </a:graphicData>
            </a:graphic>
          </wp:inline>
        </w:drawing>
      </w:r>
    </w:p>
    <w:p w14:paraId="1D0A0D36" w14:textId="730A7024" w:rsidR="001D1180" w:rsidRDefault="00675E06" w:rsidP="00675E06">
      <w:pPr>
        <w:pStyle w:val="Caption"/>
      </w:pPr>
      <w:bookmarkStart w:id="82" w:name="_Toc74642823"/>
      <w:bookmarkStart w:id="83" w:name="_Toc74755619"/>
      <w:r>
        <w:t xml:space="preserve">Figure </w:t>
      </w:r>
      <w:r>
        <w:rPr>
          <w:color w:val="2B579A"/>
          <w:shd w:val="clear" w:color="auto" w:fill="E6E6E6"/>
        </w:rPr>
        <w:fldChar w:fldCharType="begin"/>
      </w:r>
      <w:r>
        <w:rPr>
          <w:noProof/>
        </w:rPr>
        <w:instrText xml:space="preserve"> SEQ Figure_A \* ARABIC </w:instrText>
      </w:r>
      <w:r>
        <w:rPr>
          <w:color w:val="2B579A"/>
          <w:shd w:val="clear" w:color="auto" w:fill="E6E6E6"/>
        </w:rPr>
        <w:fldChar w:fldCharType="separate"/>
      </w:r>
      <w:r>
        <w:rPr>
          <w:noProof/>
        </w:rPr>
        <w:t>1</w:t>
      </w:r>
      <w:r>
        <w:rPr>
          <w:color w:val="2B579A"/>
          <w:shd w:val="clear" w:color="auto" w:fill="E6E6E6"/>
        </w:rPr>
        <w:fldChar w:fldCharType="end"/>
      </w:r>
      <w:r>
        <w:rPr>
          <w:color w:val="2B579A"/>
          <w:shd w:val="clear" w:color="auto" w:fill="E6E6E6"/>
        </w:rPr>
        <w:t>.5</w:t>
      </w:r>
      <w:r>
        <w:t xml:space="preserve"> – </w:t>
      </w:r>
      <w:r w:rsidRPr="00C90862">
        <w:t>Trends in Annual Mean NO</w:t>
      </w:r>
      <w:r w:rsidRPr="00C90862">
        <w:rPr>
          <w:vertAlign w:val="subscript"/>
        </w:rPr>
        <w:t>2</w:t>
      </w:r>
      <w:r w:rsidRPr="00C90862">
        <w:t xml:space="preserve"> Concentrations</w:t>
      </w:r>
      <w:r>
        <w:t xml:space="preserve"> </w:t>
      </w:r>
      <w:bookmarkEnd w:id="82"/>
      <w:r>
        <w:t>– Hebburn and Jarrow</w:t>
      </w:r>
      <w:bookmarkEnd w:id="83"/>
    </w:p>
    <w:p w14:paraId="73711C0F" w14:textId="77777777" w:rsidR="001D1180" w:rsidRDefault="001D1180" w:rsidP="00B216DF">
      <w:pPr>
        <w:tabs>
          <w:tab w:val="left" w:pos="7363"/>
        </w:tabs>
        <w:spacing w:before="0" w:after="0"/>
      </w:pPr>
    </w:p>
    <w:p w14:paraId="5243FC04" w14:textId="2B69260E" w:rsidR="006A449B" w:rsidRDefault="001D1180" w:rsidP="00B216DF">
      <w:pPr>
        <w:tabs>
          <w:tab w:val="left" w:pos="7363"/>
        </w:tabs>
        <w:spacing w:before="0" w:after="0"/>
      </w:pPr>
      <w:r>
        <w:rPr>
          <w:noProof/>
        </w:rPr>
        <w:drawing>
          <wp:inline distT="0" distB="0" distL="0" distR="0" wp14:anchorId="67BDEA4A" wp14:editId="7A284D80">
            <wp:extent cx="9157267" cy="5504507"/>
            <wp:effectExtent l="0" t="0" r="635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178859" cy="5517486"/>
                    </a:xfrm>
                    <a:prstGeom prst="rect">
                      <a:avLst/>
                    </a:prstGeom>
                    <a:noFill/>
                  </pic:spPr>
                </pic:pic>
              </a:graphicData>
            </a:graphic>
          </wp:inline>
        </w:drawing>
      </w:r>
    </w:p>
    <w:p w14:paraId="7BE5BAB4" w14:textId="139DEF64" w:rsidR="00F339B9" w:rsidRDefault="00675E06" w:rsidP="00675E06">
      <w:pPr>
        <w:pStyle w:val="Caption"/>
      </w:pPr>
      <w:bookmarkStart w:id="84" w:name="_Toc74755620"/>
      <w:r>
        <w:t xml:space="preserve">Figure </w:t>
      </w:r>
      <w:r>
        <w:rPr>
          <w:color w:val="2B579A"/>
          <w:shd w:val="clear" w:color="auto" w:fill="E6E6E6"/>
        </w:rPr>
        <w:fldChar w:fldCharType="begin"/>
      </w:r>
      <w:r>
        <w:rPr>
          <w:noProof/>
        </w:rPr>
        <w:instrText xml:space="preserve"> SEQ Figure_A \* ARABIC </w:instrText>
      </w:r>
      <w:r>
        <w:rPr>
          <w:color w:val="2B579A"/>
          <w:shd w:val="clear" w:color="auto" w:fill="E6E6E6"/>
        </w:rPr>
        <w:fldChar w:fldCharType="separate"/>
      </w:r>
      <w:r>
        <w:rPr>
          <w:noProof/>
        </w:rPr>
        <w:t>1</w:t>
      </w:r>
      <w:r>
        <w:rPr>
          <w:color w:val="2B579A"/>
          <w:shd w:val="clear" w:color="auto" w:fill="E6E6E6"/>
        </w:rPr>
        <w:fldChar w:fldCharType="end"/>
      </w:r>
      <w:r>
        <w:rPr>
          <w:color w:val="2B579A"/>
          <w:shd w:val="clear" w:color="auto" w:fill="E6E6E6"/>
        </w:rPr>
        <w:t>.6</w:t>
      </w:r>
      <w:r>
        <w:t xml:space="preserve"> – </w:t>
      </w:r>
      <w:r w:rsidRPr="00C90862">
        <w:t>Trends in Annual Mean NO</w:t>
      </w:r>
      <w:r w:rsidRPr="00C90862">
        <w:rPr>
          <w:vertAlign w:val="subscript"/>
        </w:rPr>
        <w:t>2</w:t>
      </w:r>
      <w:r w:rsidRPr="00C90862">
        <w:t xml:space="preserve"> Concentrations</w:t>
      </w:r>
      <w:r>
        <w:t xml:space="preserve"> – Tyne Dock</w:t>
      </w:r>
      <w:bookmarkEnd w:id="84"/>
    </w:p>
    <w:p w14:paraId="0DA6AB1C" w14:textId="77777777" w:rsidR="00F339B9" w:rsidRDefault="00F339B9" w:rsidP="00B216DF">
      <w:pPr>
        <w:tabs>
          <w:tab w:val="left" w:pos="7363"/>
        </w:tabs>
        <w:spacing w:before="0" w:after="0"/>
      </w:pPr>
    </w:p>
    <w:p w14:paraId="1BCEAD04" w14:textId="57273274" w:rsidR="008F43D7" w:rsidRDefault="00F339B9" w:rsidP="008F43D7">
      <w:pPr>
        <w:tabs>
          <w:tab w:val="left" w:pos="7363"/>
        </w:tabs>
        <w:spacing w:before="0" w:after="0"/>
      </w:pPr>
      <w:r>
        <w:rPr>
          <w:noProof/>
        </w:rPr>
        <w:drawing>
          <wp:inline distT="0" distB="0" distL="0" distR="0" wp14:anchorId="3B151E5F" wp14:editId="195B1CF9">
            <wp:extent cx="9217513" cy="5540721"/>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241417" cy="5555090"/>
                    </a:xfrm>
                    <a:prstGeom prst="rect">
                      <a:avLst/>
                    </a:prstGeom>
                    <a:noFill/>
                  </pic:spPr>
                </pic:pic>
              </a:graphicData>
            </a:graphic>
          </wp:inline>
        </w:drawing>
      </w:r>
    </w:p>
    <w:p w14:paraId="78D1D7B1" w14:textId="7E74B9B1" w:rsidR="00F339B9" w:rsidRDefault="00675E06" w:rsidP="00675E06">
      <w:pPr>
        <w:pStyle w:val="Caption"/>
      </w:pPr>
      <w:bookmarkStart w:id="85" w:name="_Toc74755621"/>
      <w:r>
        <w:t xml:space="preserve">Figure </w:t>
      </w:r>
      <w:r>
        <w:rPr>
          <w:color w:val="2B579A"/>
          <w:shd w:val="clear" w:color="auto" w:fill="E6E6E6"/>
        </w:rPr>
        <w:fldChar w:fldCharType="begin"/>
      </w:r>
      <w:r>
        <w:rPr>
          <w:noProof/>
        </w:rPr>
        <w:instrText xml:space="preserve"> SEQ Figure_A \* ARABIC </w:instrText>
      </w:r>
      <w:r>
        <w:rPr>
          <w:color w:val="2B579A"/>
          <w:shd w:val="clear" w:color="auto" w:fill="E6E6E6"/>
        </w:rPr>
        <w:fldChar w:fldCharType="separate"/>
      </w:r>
      <w:r>
        <w:rPr>
          <w:noProof/>
        </w:rPr>
        <w:t>1</w:t>
      </w:r>
      <w:r>
        <w:rPr>
          <w:color w:val="2B579A"/>
          <w:shd w:val="clear" w:color="auto" w:fill="E6E6E6"/>
        </w:rPr>
        <w:fldChar w:fldCharType="end"/>
      </w:r>
      <w:r>
        <w:rPr>
          <w:color w:val="2B579A"/>
          <w:shd w:val="clear" w:color="auto" w:fill="E6E6E6"/>
        </w:rPr>
        <w:t>.7</w:t>
      </w:r>
      <w:r>
        <w:t xml:space="preserve"> – </w:t>
      </w:r>
      <w:r w:rsidRPr="00C90862">
        <w:t>Trends in Annual Mean NO</w:t>
      </w:r>
      <w:r w:rsidRPr="00C90862">
        <w:rPr>
          <w:vertAlign w:val="subscript"/>
        </w:rPr>
        <w:t>2</w:t>
      </w:r>
      <w:r w:rsidRPr="00C90862">
        <w:t xml:space="preserve"> Concentrations</w:t>
      </w:r>
      <w:r>
        <w:t xml:space="preserve"> – Westoe</w:t>
      </w:r>
      <w:bookmarkEnd w:id="85"/>
    </w:p>
    <w:p w14:paraId="06CB8FD3" w14:textId="2805B13C" w:rsidR="00F339B9" w:rsidRDefault="00F339B9" w:rsidP="008F43D7">
      <w:pPr>
        <w:tabs>
          <w:tab w:val="left" w:pos="7363"/>
        </w:tabs>
        <w:spacing w:before="0" w:after="0"/>
      </w:pPr>
      <w:r>
        <w:t xml:space="preserve"> </w:t>
      </w:r>
      <w:r w:rsidR="00601E22">
        <w:rPr>
          <w:noProof/>
        </w:rPr>
        <w:drawing>
          <wp:inline distT="0" distB="0" distL="0" distR="0" wp14:anchorId="78CE42BC" wp14:editId="01EFFEE5">
            <wp:extent cx="9237345" cy="4888628"/>
            <wp:effectExtent l="0" t="0" r="1905"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265426" cy="4903489"/>
                    </a:xfrm>
                    <a:prstGeom prst="rect">
                      <a:avLst/>
                    </a:prstGeom>
                    <a:noFill/>
                  </pic:spPr>
                </pic:pic>
              </a:graphicData>
            </a:graphic>
          </wp:inline>
        </w:drawing>
      </w:r>
    </w:p>
    <w:p w14:paraId="7D6D0876" w14:textId="5AEA8383" w:rsidR="00AC6502" w:rsidRDefault="00AC6502" w:rsidP="008F43D7">
      <w:pPr>
        <w:tabs>
          <w:tab w:val="left" w:pos="7363"/>
        </w:tabs>
        <w:spacing w:before="0" w:after="0"/>
      </w:pPr>
    </w:p>
    <w:p w14:paraId="71C4211D" w14:textId="0C373E4A" w:rsidR="00AC6502" w:rsidRDefault="00AC6502" w:rsidP="008F43D7">
      <w:pPr>
        <w:tabs>
          <w:tab w:val="left" w:pos="7363"/>
        </w:tabs>
        <w:spacing w:before="0" w:after="0"/>
      </w:pPr>
    </w:p>
    <w:p w14:paraId="3E5D4DF6" w14:textId="1C84AF3C" w:rsidR="00AC6502" w:rsidRDefault="00AC6502" w:rsidP="008F43D7">
      <w:pPr>
        <w:tabs>
          <w:tab w:val="left" w:pos="7363"/>
        </w:tabs>
        <w:spacing w:before="0" w:after="0"/>
      </w:pPr>
    </w:p>
    <w:p w14:paraId="2943549C" w14:textId="39254768" w:rsidR="00AC6502" w:rsidRDefault="00675E06" w:rsidP="00675E06">
      <w:pPr>
        <w:pStyle w:val="Caption"/>
      </w:pPr>
      <w:bookmarkStart w:id="86" w:name="_Toc74755622"/>
      <w:r>
        <w:t xml:space="preserve">Figure </w:t>
      </w:r>
      <w:r>
        <w:rPr>
          <w:color w:val="2B579A"/>
          <w:shd w:val="clear" w:color="auto" w:fill="E6E6E6"/>
        </w:rPr>
        <w:fldChar w:fldCharType="begin"/>
      </w:r>
      <w:r>
        <w:rPr>
          <w:noProof/>
        </w:rPr>
        <w:instrText xml:space="preserve"> SEQ Figure_A \* ARABIC </w:instrText>
      </w:r>
      <w:r>
        <w:rPr>
          <w:color w:val="2B579A"/>
          <w:shd w:val="clear" w:color="auto" w:fill="E6E6E6"/>
        </w:rPr>
        <w:fldChar w:fldCharType="separate"/>
      </w:r>
      <w:r>
        <w:rPr>
          <w:noProof/>
        </w:rPr>
        <w:t>1</w:t>
      </w:r>
      <w:r>
        <w:rPr>
          <w:color w:val="2B579A"/>
          <w:shd w:val="clear" w:color="auto" w:fill="E6E6E6"/>
        </w:rPr>
        <w:fldChar w:fldCharType="end"/>
      </w:r>
      <w:r>
        <w:rPr>
          <w:color w:val="2B579A"/>
          <w:shd w:val="clear" w:color="auto" w:fill="E6E6E6"/>
        </w:rPr>
        <w:t>.8</w:t>
      </w:r>
      <w:r>
        <w:t xml:space="preserve"> – </w:t>
      </w:r>
      <w:r w:rsidRPr="00C90862">
        <w:t>Trends in Annual Mean NO</w:t>
      </w:r>
      <w:r w:rsidRPr="00C90862">
        <w:rPr>
          <w:vertAlign w:val="subscript"/>
        </w:rPr>
        <w:t>2</w:t>
      </w:r>
      <w:r w:rsidRPr="00C90862">
        <w:t xml:space="preserve"> Concentrations</w:t>
      </w:r>
      <w:r>
        <w:t xml:space="preserve"> – South Shields</w:t>
      </w:r>
      <w:bookmarkEnd w:id="86"/>
    </w:p>
    <w:p w14:paraId="09321C35" w14:textId="648CCCAE" w:rsidR="00976ACA" w:rsidRDefault="00AC6502" w:rsidP="008F43D7">
      <w:pPr>
        <w:tabs>
          <w:tab w:val="left" w:pos="7363"/>
        </w:tabs>
        <w:spacing w:before="0" w:after="0"/>
      </w:pPr>
      <w:r>
        <w:rPr>
          <w:noProof/>
        </w:rPr>
        <w:drawing>
          <wp:inline distT="0" distB="0" distL="0" distR="0" wp14:anchorId="74DF5CAA" wp14:editId="7C3DDDE1">
            <wp:extent cx="8651019" cy="5162092"/>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701640" cy="5192298"/>
                    </a:xfrm>
                    <a:prstGeom prst="rect">
                      <a:avLst/>
                    </a:prstGeom>
                    <a:noFill/>
                  </pic:spPr>
                </pic:pic>
              </a:graphicData>
            </a:graphic>
          </wp:inline>
        </w:drawing>
      </w:r>
    </w:p>
    <w:p w14:paraId="5FCACE9D" w14:textId="77777777" w:rsidR="001228E2" w:rsidRDefault="001228E2" w:rsidP="00400B0F">
      <w:pPr>
        <w:pStyle w:val="Caption"/>
      </w:pPr>
      <w:bookmarkStart w:id="87" w:name="_Ref55286443"/>
      <w:bookmarkStart w:id="88" w:name="_Toc74642726"/>
    </w:p>
    <w:p w14:paraId="1F570EA3" w14:textId="7B073D62" w:rsidR="00D024C9" w:rsidRDefault="00D024C9" w:rsidP="00400B0F">
      <w:pPr>
        <w:pStyle w:val="Caption"/>
        <w:rPr>
          <w:rFonts w:cs="Arial"/>
          <w:szCs w:val="24"/>
          <w:vertAlign w:val="superscript"/>
        </w:rPr>
      </w:pPr>
      <w:r>
        <w:t>Table A.</w:t>
      </w:r>
      <w:r w:rsidR="00742944">
        <w:rPr>
          <w:color w:val="2B579A"/>
          <w:shd w:val="clear" w:color="auto" w:fill="E6E6E6"/>
        </w:rPr>
        <w:fldChar w:fldCharType="begin"/>
      </w:r>
      <w:r w:rsidR="00742944">
        <w:rPr>
          <w:noProof/>
        </w:rPr>
        <w:instrText xml:space="preserve"> SEQ Table_A \* ARABIC </w:instrText>
      </w:r>
      <w:r w:rsidR="00742944">
        <w:rPr>
          <w:color w:val="2B579A"/>
          <w:shd w:val="clear" w:color="auto" w:fill="E6E6E6"/>
        </w:rPr>
        <w:fldChar w:fldCharType="separate"/>
      </w:r>
      <w:r w:rsidR="0062374A">
        <w:rPr>
          <w:noProof/>
        </w:rPr>
        <w:t>5</w:t>
      </w:r>
      <w:r w:rsidR="00742944">
        <w:rPr>
          <w:color w:val="2B579A"/>
          <w:shd w:val="clear" w:color="auto" w:fill="E6E6E6"/>
        </w:rPr>
        <w:fldChar w:fldCharType="end"/>
      </w:r>
      <w:bookmarkEnd w:id="87"/>
      <w:r>
        <w:t xml:space="preserve"> – 1-Hour Mean NO</w:t>
      </w:r>
      <w:r>
        <w:rPr>
          <w:vertAlign w:val="subscript"/>
        </w:rPr>
        <w:t>2</w:t>
      </w:r>
      <w:r>
        <w:t xml:space="preserve"> </w:t>
      </w:r>
      <w:r w:rsidRPr="00786EB7">
        <w:rPr>
          <w:szCs w:val="24"/>
        </w:rPr>
        <w:t>Monitoring Results</w:t>
      </w:r>
      <w:r w:rsidR="00786EB7" w:rsidRPr="00786EB7">
        <w:rPr>
          <w:szCs w:val="24"/>
        </w:rPr>
        <w:t xml:space="preserve">, </w:t>
      </w:r>
      <w:r w:rsidR="00E1160B">
        <w:rPr>
          <w:szCs w:val="24"/>
        </w:rPr>
        <w:t xml:space="preserve">Number of </w:t>
      </w:r>
      <w:r w:rsidR="00786EB7" w:rsidRPr="00786EB7">
        <w:rPr>
          <w:rFonts w:cs="Arial"/>
          <w:szCs w:val="24"/>
        </w:rPr>
        <w:t xml:space="preserve">1-Hour </w:t>
      </w:r>
      <w:r w:rsidR="00564B48">
        <w:rPr>
          <w:rFonts w:cs="Arial"/>
          <w:szCs w:val="24"/>
        </w:rPr>
        <w:t>Means</w:t>
      </w:r>
      <w:r w:rsidR="00786EB7" w:rsidRPr="00786EB7">
        <w:rPr>
          <w:rFonts w:cs="Arial"/>
          <w:szCs w:val="24"/>
        </w:rPr>
        <w:t xml:space="preserve"> &gt; 200µg/m</w:t>
      </w:r>
      <w:r w:rsidR="00786EB7" w:rsidRPr="00786EB7">
        <w:rPr>
          <w:rFonts w:cs="Arial"/>
          <w:szCs w:val="24"/>
          <w:vertAlign w:val="superscript"/>
        </w:rPr>
        <w:t>3</w:t>
      </w:r>
      <w:bookmarkEnd w:id="88"/>
    </w:p>
    <w:tbl>
      <w:tblPr>
        <w:tblStyle w:val="TableStyle4"/>
        <w:tblW w:w="0" w:type="auto"/>
        <w:tblLayout w:type="fixed"/>
        <w:tblLook w:val="04A0" w:firstRow="1" w:lastRow="0" w:firstColumn="1" w:lastColumn="0" w:noHBand="0" w:noVBand="1"/>
      </w:tblPr>
      <w:tblGrid>
        <w:gridCol w:w="1271"/>
        <w:gridCol w:w="1134"/>
        <w:gridCol w:w="1134"/>
        <w:gridCol w:w="2552"/>
        <w:gridCol w:w="1701"/>
        <w:gridCol w:w="1275"/>
        <w:gridCol w:w="1134"/>
        <w:gridCol w:w="1134"/>
        <w:gridCol w:w="993"/>
        <w:gridCol w:w="1076"/>
        <w:gridCol w:w="1156"/>
      </w:tblGrid>
      <w:tr w:rsidR="00AF60C4" w:rsidRPr="00116356" w14:paraId="19417B13" w14:textId="77777777" w:rsidTr="00695AF0">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1271" w:type="dxa"/>
          </w:tcPr>
          <w:p w14:paraId="69D94287" w14:textId="77777777" w:rsidR="00AF60C4" w:rsidRPr="00116356" w:rsidRDefault="00AF60C4" w:rsidP="003A10E7">
            <w:pPr>
              <w:spacing w:line="240" w:lineRule="auto"/>
              <w:rPr>
                <w:rFonts w:ascii="Arial" w:hAnsi="Arial" w:cs="Arial"/>
                <w:sz w:val="20"/>
                <w:szCs w:val="20"/>
              </w:rPr>
            </w:pPr>
            <w:r w:rsidRPr="00116356">
              <w:rPr>
                <w:rFonts w:ascii="Arial" w:hAnsi="Arial" w:cs="Arial"/>
                <w:sz w:val="20"/>
                <w:szCs w:val="20"/>
              </w:rPr>
              <w:t>Site ID</w:t>
            </w:r>
          </w:p>
        </w:tc>
        <w:tc>
          <w:tcPr>
            <w:tcW w:w="1134" w:type="dxa"/>
          </w:tcPr>
          <w:p w14:paraId="4EDA218A" w14:textId="77777777" w:rsidR="00AF60C4" w:rsidRPr="00116356" w:rsidRDefault="00AF60C4"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X OS Grid Ref (Easting)</w:t>
            </w:r>
          </w:p>
        </w:tc>
        <w:tc>
          <w:tcPr>
            <w:tcW w:w="1134" w:type="dxa"/>
          </w:tcPr>
          <w:p w14:paraId="21458593" w14:textId="77777777" w:rsidR="00AF60C4" w:rsidRPr="00116356" w:rsidRDefault="00AF60C4"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Y OS Grid Ref (Northing)</w:t>
            </w:r>
          </w:p>
        </w:tc>
        <w:tc>
          <w:tcPr>
            <w:tcW w:w="2552" w:type="dxa"/>
          </w:tcPr>
          <w:p w14:paraId="03221519" w14:textId="77777777" w:rsidR="00AF60C4" w:rsidRPr="00116356" w:rsidRDefault="00AF60C4"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Site Type</w:t>
            </w:r>
          </w:p>
        </w:tc>
        <w:tc>
          <w:tcPr>
            <w:tcW w:w="1701" w:type="dxa"/>
          </w:tcPr>
          <w:p w14:paraId="4D901881" w14:textId="77777777" w:rsidR="00AF60C4" w:rsidRPr="00116356" w:rsidRDefault="00AF60C4"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 xml:space="preserve">Valid Data Capture for Monitoring Period (%) </w:t>
            </w:r>
            <w:r w:rsidRPr="00D024C9">
              <w:rPr>
                <w:rFonts w:ascii="Arial" w:hAnsi="Arial" w:cs="Arial"/>
                <w:sz w:val="20"/>
                <w:szCs w:val="20"/>
                <w:vertAlign w:val="superscript"/>
              </w:rPr>
              <w:t>(1)</w:t>
            </w:r>
          </w:p>
        </w:tc>
        <w:tc>
          <w:tcPr>
            <w:tcW w:w="1275" w:type="dxa"/>
          </w:tcPr>
          <w:p w14:paraId="2C08DE17" w14:textId="5CD009E5" w:rsidR="00AF60C4" w:rsidRPr="00116356" w:rsidRDefault="00AF60C4"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Valid Data Capture 20</w:t>
            </w:r>
            <w:r>
              <w:rPr>
                <w:rFonts w:ascii="Arial" w:hAnsi="Arial" w:cs="Arial"/>
                <w:sz w:val="20"/>
                <w:szCs w:val="20"/>
              </w:rPr>
              <w:t>20</w:t>
            </w:r>
            <w:r w:rsidRPr="00116356">
              <w:rPr>
                <w:rFonts w:ascii="Arial" w:hAnsi="Arial" w:cs="Arial"/>
                <w:sz w:val="20"/>
                <w:szCs w:val="20"/>
              </w:rPr>
              <w:t xml:space="preserve"> (%) </w:t>
            </w:r>
            <w:r w:rsidRPr="00D024C9">
              <w:rPr>
                <w:rFonts w:ascii="Arial" w:hAnsi="Arial" w:cs="Arial"/>
                <w:sz w:val="20"/>
                <w:szCs w:val="20"/>
                <w:vertAlign w:val="superscript"/>
              </w:rPr>
              <w:t>(2)</w:t>
            </w:r>
          </w:p>
        </w:tc>
        <w:tc>
          <w:tcPr>
            <w:tcW w:w="1134" w:type="dxa"/>
          </w:tcPr>
          <w:p w14:paraId="673BCD18" w14:textId="70885F1C" w:rsidR="00AF60C4" w:rsidRPr="00116356" w:rsidRDefault="00AF60C4"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6</w:t>
            </w:r>
          </w:p>
        </w:tc>
        <w:tc>
          <w:tcPr>
            <w:tcW w:w="1134" w:type="dxa"/>
          </w:tcPr>
          <w:p w14:paraId="7C37FDC3" w14:textId="64A91BE6" w:rsidR="00AF60C4" w:rsidRPr="00116356" w:rsidRDefault="00AF60C4"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7</w:t>
            </w:r>
          </w:p>
        </w:tc>
        <w:tc>
          <w:tcPr>
            <w:tcW w:w="993" w:type="dxa"/>
          </w:tcPr>
          <w:p w14:paraId="0B0F1F33" w14:textId="0D96745A" w:rsidR="00AF60C4" w:rsidRPr="00116356" w:rsidRDefault="00AF60C4"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8</w:t>
            </w:r>
          </w:p>
        </w:tc>
        <w:tc>
          <w:tcPr>
            <w:tcW w:w="1076" w:type="dxa"/>
          </w:tcPr>
          <w:p w14:paraId="5E2C96A8" w14:textId="206AD9F2" w:rsidR="00AF60C4" w:rsidRPr="00116356" w:rsidRDefault="00AF60C4"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9</w:t>
            </w:r>
          </w:p>
        </w:tc>
        <w:tc>
          <w:tcPr>
            <w:tcW w:w="1156" w:type="dxa"/>
          </w:tcPr>
          <w:p w14:paraId="6B3CDEF0" w14:textId="7EC57D31" w:rsidR="00AF60C4" w:rsidRPr="00116356" w:rsidRDefault="00AF60C4"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116356">
              <w:rPr>
                <w:rFonts w:cs="Arial"/>
                <w:b w:val="0"/>
                <w:sz w:val="20"/>
                <w:szCs w:val="20"/>
              </w:rPr>
              <w:t>20</w:t>
            </w:r>
            <w:r>
              <w:rPr>
                <w:rFonts w:cs="Arial"/>
                <w:b w:val="0"/>
                <w:sz w:val="20"/>
                <w:szCs w:val="20"/>
              </w:rPr>
              <w:t>20</w:t>
            </w:r>
          </w:p>
        </w:tc>
      </w:tr>
    </w:tbl>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53"/>
        <w:gridCol w:w="1209"/>
        <w:gridCol w:w="1209"/>
        <w:gridCol w:w="1232"/>
        <w:gridCol w:w="1284"/>
        <w:gridCol w:w="1758"/>
        <w:gridCol w:w="1211"/>
        <w:gridCol w:w="1100"/>
        <w:gridCol w:w="1100"/>
        <w:gridCol w:w="1100"/>
        <w:gridCol w:w="1100"/>
        <w:gridCol w:w="1094"/>
      </w:tblGrid>
      <w:tr w:rsidR="00EC10AB" w:rsidRPr="005E7AC3" w14:paraId="16DEDF0D" w14:textId="77777777" w:rsidTr="00EC10AB">
        <w:trPr>
          <w:trHeight w:val="315"/>
        </w:trPr>
        <w:tc>
          <w:tcPr>
            <w:tcW w:w="396" w:type="pct"/>
            <w:tcBorders>
              <w:top w:val="single" w:sz="8" w:space="0" w:color="000000"/>
              <w:left w:val="single" w:sz="8" w:space="0" w:color="000000"/>
              <w:bottom w:val="single" w:sz="8" w:space="0" w:color="000000"/>
              <w:right w:val="single" w:sz="8" w:space="0" w:color="000000"/>
            </w:tcBorders>
            <w:shd w:val="clear" w:color="000000" w:fill="CBE9D3"/>
            <w:vAlign w:val="center"/>
            <w:hideMark/>
          </w:tcPr>
          <w:p w14:paraId="16BFA528" w14:textId="77777777" w:rsidR="00EC10AB" w:rsidRPr="005E7AC3" w:rsidRDefault="00EC10AB" w:rsidP="00EC10AB">
            <w:pPr>
              <w:jc w:val="center"/>
              <w:rPr>
                <w:rFonts w:cs="Arial"/>
                <w:szCs w:val="20"/>
                <w:lang w:eastAsia="en-GB"/>
              </w:rPr>
            </w:pPr>
            <w:r w:rsidRPr="005E7AC3">
              <w:rPr>
                <w:rFonts w:cs="Arial"/>
                <w:szCs w:val="20"/>
                <w:lang w:eastAsia="en-GB"/>
              </w:rPr>
              <w:t>CM1</w:t>
            </w:r>
          </w:p>
        </w:tc>
        <w:tc>
          <w:tcPr>
            <w:tcW w:w="415"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12FA52E" w14:textId="77777777" w:rsidR="00EC10AB" w:rsidRPr="005E7AC3" w:rsidRDefault="00EC10AB" w:rsidP="00EC10AB">
            <w:pPr>
              <w:jc w:val="center"/>
              <w:rPr>
                <w:rFonts w:cs="Arial"/>
                <w:szCs w:val="20"/>
                <w:lang w:eastAsia="en-GB"/>
              </w:rPr>
            </w:pPr>
            <w:r w:rsidRPr="005E7AC3">
              <w:rPr>
                <w:rFonts w:cs="Arial"/>
                <w:szCs w:val="20"/>
                <w:lang w:eastAsia="en-GB"/>
              </w:rPr>
              <w:t>435,949</w:t>
            </w:r>
          </w:p>
        </w:tc>
        <w:tc>
          <w:tcPr>
            <w:tcW w:w="415"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BE0B1A6" w14:textId="77777777" w:rsidR="00EC10AB" w:rsidRPr="005E7AC3" w:rsidRDefault="00EC10AB" w:rsidP="00EC10AB">
            <w:pPr>
              <w:jc w:val="center"/>
              <w:rPr>
                <w:rFonts w:cs="Arial"/>
                <w:szCs w:val="20"/>
                <w:lang w:eastAsia="en-GB"/>
              </w:rPr>
            </w:pPr>
            <w:r w:rsidRPr="005E7AC3">
              <w:rPr>
                <w:rFonts w:cs="Arial"/>
                <w:szCs w:val="20"/>
                <w:lang w:eastAsia="en-GB"/>
              </w:rPr>
              <w:t>564,456</w:t>
            </w:r>
          </w:p>
        </w:tc>
        <w:tc>
          <w:tcPr>
            <w:tcW w:w="423"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0C0245" w14:textId="77777777" w:rsidR="00EC10AB" w:rsidRPr="005E7AC3" w:rsidRDefault="00EC10AB" w:rsidP="00EC10AB">
            <w:pPr>
              <w:jc w:val="center"/>
              <w:rPr>
                <w:rFonts w:cs="Arial"/>
                <w:szCs w:val="20"/>
                <w:lang w:eastAsia="en-GB"/>
              </w:rPr>
            </w:pPr>
            <w:r w:rsidRPr="005E7AC3">
              <w:rPr>
                <w:rFonts w:cs="Arial"/>
                <w:szCs w:val="20"/>
                <w:lang w:eastAsia="en-GB"/>
              </w:rPr>
              <w:t>Roadside</w:t>
            </w:r>
          </w:p>
        </w:tc>
        <w:tc>
          <w:tcPr>
            <w:tcW w:w="44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C01084" w14:textId="77777777" w:rsidR="00EC10AB" w:rsidRPr="005E7AC3" w:rsidRDefault="00EC10AB" w:rsidP="00EC10AB">
            <w:pPr>
              <w:jc w:val="center"/>
              <w:rPr>
                <w:rFonts w:cs="Arial"/>
                <w:szCs w:val="20"/>
                <w:lang w:eastAsia="en-GB"/>
              </w:rPr>
            </w:pPr>
            <w:r w:rsidRPr="005E7AC3">
              <w:rPr>
                <w:rFonts w:cs="Arial"/>
                <w:szCs w:val="20"/>
                <w:lang w:eastAsia="en-GB"/>
              </w:rPr>
              <w:t>Automatic</w:t>
            </w:r>
          </w:p>
        </w:tc>
        <w:tc>
          <w:tcPr>
            <w:tcW w:w="60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469708" w14:textId="271A2334" w:rsidR="00EC10AB" w:rsidRPr="005E7AC3" w:rsidRDefault="0082648A" w:rsidP="00EC10AB">
            <w:pPr>
              <w:jc w:val="center"/>
              <w:rPr>
                <w:rFonts w:cs="Arial"/>
                <w:szCs w:val="20"/>
                <w:lang w:eastAsia="en-GB"/>
              </w:rPr>
            </w:pPr>
            <w:r>
              <w:rPr>
                <w:rFonts w:cs="Arial"/>
                <w:szCs w:val="20"/>
                <w:lang w:eastAsia="en-GB"/>
              </w:rPr>
              <w:t>97.7</w:t>
            </w:r>
          </w:p>
        </w:tc>
        <w:tc>
          <w:tcPr>
            <w:tcW w:w="41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1CEA26" w14:textId="52B2C595" w:rsidR="00EC10AB" w:rsidRPr="005E7AC3" w:rsidRDefault="00175108" w:rsidP="00EC10AB">
            <w:pPr>
              <w:jc w:val="center"/>
              <w:rPr>
                <w:rFonts w:cs="Arial"/>
                <w:szCs w:val="20"/>
                <w:lang w:eastAsia="en-GB"/>
              </w:rPr>
            </w:pPr>
            <w:r>
              <w:rPr>
                <w:rFonts w:cs="Arial"/>
                <w:szCs w:val="20"/>
                <w:lang w:eastAsia="en-GB"/>
              </w:rPr>
              <w:t>97.7</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4F57ED" w14:textId="38FA622F" w:rsidR="00EC10AB" w:rsidRPr="00D01AE7" w:rsidRDefault="00EC10AB" w:rsidP="00EC10AB">
            <w:pPr>
              <w:jc w:val="center"/>
              <w:rPr>
                <w:rFonts w:cs="Arial"/>
                <w:szCs w:val="20"/>
              </w:rPr>
            </w:pPr>
            <w:r w:rsidRPr="00D01AE7">
              <w:rPr>
                <w:rFonts w:cs="Arial"/>
                <w:szCs w:val="20"/>
              </w:rPr>
              <w:t>0</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ECC159" w14:textId="1807E1A4" w:rsidR="00EC10AB" w:rsidRPr="00D01AE7" w:rsidRDefault="00EC10AB" w:rsidP="00EC10AB">
            <w:pPr>
              <w:jc w:val="center"/>
              <w:rPr>
                <w:rFonts w:cs="Arial"/>
                <w:szCs w:val="20"/>
              </w:rPr>
            </w:pPr>
            <w:r w:rsidRPr="00D01AE7">
              <w:rPr>
                <w:rFonts w:cs="Arial"/>
                <w:szCs w:val="20"/>
              </w:rPr>
              <w:t>0</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C217D0" w14:textId="1297EEE9" w:rsidR="00EC10AB" w:rsidRPr="00D01AE7" w:rsidRDefault="00EC10AB" w:rsidP="00EC10AB">
            <w:pPr>
              <w:jc w:val="center"/>
              <w:rPr>
                <w:rFonts w:cs="Arial"/>
                <w:szCs w:val="20"/>
              </w:rPr>
            </w:pPr>
            <w:r w:rsidRPr="00D01AE7">
              <w:rPr>
                <w:rFonts w:cs="Arial"/>
                <w:szCs w:val="20"/>
                <w:lang w:eastAsia="en-GB"/>
              </w:rPr>
              <w:t>0</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1862C0" w14:textId="64363666" w:rsidR="00EC10AB" w:rsidRPr="00D01AE7" w:rsidRDefault="00EC10AB" w:rsidP="00EC10AB">
            <w:pPr>
              <w:jc w:val="center"/>
              <w:rPr>
                <w:rFonts w:cs="Arial"/>
                <w:szCs w:val="20"/>
                <w:lang w:eastAsia="en-GB"/>
              </w:rPr>
            </w:pPr>
            <w:r w:rsidRPr="00D01AE7">
              <w:rPr>
                <w:rFonts w:cs="Arial"/>
                <w:szCs w:val="20"/>
                <w:lang w:eastAsia="en-GB"/>
              </w:rPr>
              <w:t>0</w:t>
            </w:r>
          </w:p>
        </w:tc>
        <w:tc>
          <w:tcPr>
            <w:tcW w:w="37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991510B" w14:textId="2F52C1BE" w:rsidR="00EC10AB" w:rsidRPr="00D01AE7" w:rsidRDefault="00175108" w:rsidP="00EC10AB">
            <w:pPr>
              <w:jc w:val="center"/>
              <w:rPr>
                <w:rFonts w:cs="Arial"/>
                <w:szCs w:val="20"/>
                <w:lang w:eastAsia="en-GB"/>
              </w:rPr>
            </w:pPr>
            <w:r w:rsidRPr="00D01AE7">
              <w:rPr>
                <w:rFonts w:cs="Arial"/>
                <w:szCs w:val="20"/>
                <w:lang w:eastAsia="en-GB"/>
              </w:rPr>
              <w:t>0</w:t>
            </w:r>
          </w:p>
        </w:tc>
      </w:tr>
      <w:tr w:rsidR="00EC10AB" w:rsidRPr="005E7AC3" w14:paraId="3AE08F20" w14:textId="77777777" w:rsidTr="00EC10AB">
        <w:trPr>
          <w:trHeight w:val="315"/>
        </w:trPr>
        <w:tc>
          <w:tcPr>
            <w:tcW w:w="396" w:type="pct"/>
            <w:tcBorders>
              <w:top w:val="single" w:sz="8" w:space="0" w:color="000000"/>
              <w:left w:val="single" w:sz="8" w:space="0" w:color="000000"/>
              <w:bottom w:val="single" w:sz="8" w:space="0" w:color="000000"/>
              <w:right w:val="single" w:sz="8" w:space="0" w:color="000000"/>
            </w:tcBorders>
            <w:shd w:val="clear" w:color="000000" w:fill="CBE9D3"/>
            <w:vAlign w:val="center"/>
            <w:hideMark/>
          </w:tcPr>
          <w:p w14:paraId="7F1FB735" w14:textId="77777777" w:rsidR="00EC10AB" w:rsidRPr="005E7AC3" w:rsidRDefault="00EC10AB" w:rsidP="00EC10AB">
            <w:pPr>
              <w:jc w:val="center"/>
              <w:rPr>
                <w:rFonts w:cs="Arial"/>
                <w:szCs w:val="20"/>
                <w:lang w:eastAsia="en-GB"/>
              </w:rPr>
            </w:pPr>
            <w:r w:rsidRPr="005E7AC3">
              <w:rPr>
                <w:rFonts w:cs="Arial"/>
                <w:szCs w:val="20"/>
                <w:lang w:eastAsia="en-GB"/>
              </w:rPr>
              <w:t>CM2</w:t>
            </w:r>
          </w:p>
        </w:tc>
        <w:tc>
          <w:tcPr>
            <w:tcW w:w="415"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EC46303" w14:textId="77777777" w:rsidR="00EC10AB" w:rsidRPr="005E7AC3" w:rsidRDefault="00EC10AB" w:rsidP="00EC10AB">
            <w:pPr>
              <w:jc w:val="center"/>
              <w:rPr>
                <w:rFonts w:cs="Arial"/>
                <w:szCs w:val="20"/>
                <w:lang w:eastAsia="en-GB"/>
              </w:rPr>
            </w:pPr>
            <w:r w:rsidRPr="005E7AC3">
              <w:rPr>
                <w:rFonts w:cs="Arial"/>
                <w:szCs w:val="20"/>
                <w:lang w:eastAsia="en-GB"/>
              </w:rPr>
              <w:t>434,068</w:t>
            </w:r>
          </w:p>
        </w:tc>
        <w:tc>
          <w:tcPr>
            <w:tcW w:w="415"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F17668C" w14:textId="77777777" w:rsidR="00EC10AB" w:rsidRPr="005E7AC3" w:rsidRDefault="00EC10AB" w:rsidP="00EC10AB">
            <w:pPr>
              <w:jc w:val="center"/>
              <w:rPr>
                <w:rFonts w:cs="Arial"/>
                <w:szCs w:val="20"/>
                <w:lang w:eastAsia="en-GB"/>
              </w:rPr>
            </w:pPr>
            <w:r w:rsidRPr="005E7AC3">
              <w:rPr>
                <w:rFonts w:cs="Arial"/>
                <w:szCs w:val="20"/>
                <w:lang w:eastAsia="en-GB"/>
              </w:rPr>
              <w:t>563,695</w:t>
            </w:r>
          </w:p>
        </w:tc>
        <w:tc>
          <w:tcPr>
            <w:tcW w:w="423"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C5D775" w14:textId="77777777" w:rsidR="00EC10AB" w:rsidRPr="005E7AC3" w:rsidRDefault="00EC10AB" w:rsidP="00EC10AB">
            <w:pPr>
              <w:jc w:val="center"/>
              <w:rPr>
                <w:rFonts w:cs="Arial"/>
                <w:szCs w:val="20"/>
                <w:lang w:eastAsia="en-GB"/>
              </w:rPr>
            </w:pPr>
            <w:r w:rsidRPr="005E7AC3">
              <w:rPr>
                <w:rFonts w:cs="Arial"/>
                <w:szCs w:val="20"/>
                <w:lang w:eastAsia="en-GB"/>
              </w:rPr>
              <w:t>Roadside</w:t>
            </w:r>
          </w:p>
        </w:tc>
        <w:tc>
          <w:tcPr>
            <w:tcW w:w="44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E79218" w14:textId="77777777" w:rsidR="00EC10AB" w:rsidRPr="005E7AC3" w:rsidRDefault="00EC10AB" w:rsidP="00EC10AB">
            <w:pPr>
              <w:jc w:val="center"/>
              <w:rPr>
                <w:rFonts w:cs="Arial"/>
                <w:szCs w:val="20"/>
                <w:lang w:eastAsia="en-GB"/>
              </w:rPr>
            </w:pPr>
            <w:r w:rsidRPr="005E7AC3">
              <w:rPr>
                <w:rFonts w:cs="Arial"/>
                <w:szCs w:val="20"/>
                <w:lang w:eastAsia="en-GB"/>
              </w:rPr>
              <w:t>Automatic</w:t>
            </w:r>
          </w:p>
        </w:tc>
        <w:tc>
          <w:tcPr>
            <w:tcW w:w="60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DCA6D2" w14:textId="153E35F1" w:rsidR="00EC10AB" w:rsidRPr="005E7AC3" w:rsidRDefault="0082648A" w:rsidP="00695AF0">
            <w:pPr>
              <w:jc w:val="center"/>
              <w:rPr>
                <w:rFonts w:cs="Arial"/>
                <w:szCs w:val="20"/>
                <w:lang w:eastAsia="en-GB"/>
              </w:rPr>
            </w:pPr>
            <w:r>
              <w:rPr>
                <w:rFonts w:cs="Arial"/>
                <w:szCs w:val="20"/>
                <w:lang w:eastAsia="en-GB"/>
              </w:rPr>
              <w:t>99.9</w:t>
            </w:r>
          </w:p>
        </w:tc>
        <w:tc>
          <w:tcPr>
            <w:tcW w:w="41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F882C1" w14:textId="6AA793DD" w:rsidR="00EC10AB" w:rsidRPr="005E7AC3" w:rsidRDefault="00EC10AB" w:rsidP="00EC10AB">
            <w:pPr>
              <w:jc w:val="center"/>
              <w:rPr>
                <w:rFonts w:cs="Arial"/>
                <w:szCs w:val="20"/>
                <w:lang w:eastAsia="en-GB"/>
              </w:rPr>
            </w:pPr>
            <w:r w:rsidRPr="005E7AC3">
              <w:rPr>
                <w:rFonts w:cs="Arial"/>
                <w:szCs w:val="20"/>
                <w:lang w:eastAsia="en-GB"/>
              </w:rPr>
              <w:t>99.</w:t>
            </w:r>
            <w:r w:rsidR="00D01AE7">
              <w:rPr>
                <w:rFonts w:cs="Arial"/>
                <w:szCs w:val="20"/>
                <w:lang w:eastAsia="en-GB"/>
              </w:rPr>
              <w:t>9</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BD165A" w14:textId="2029BFA2" w:rsidR="00EC10AB" w:rsidRPr="00D01AE7" w:rsidRDefault="00EC10AB" w:rsidP="00EC10AB">
            <w:pPr>
              <w:jc w:val="center"/>
              <w:rPr>
                <w:rFonts w:cs="Arial"/>
                <w:szCs w:val="20"/>
              </w:rPr>
            </w:pPr>
            <w:r w:rsidRPr="00D01AE7">
              <w:rPr>
                <w:rFonts w:cs="Arial"/>
                <w:szCs w:val="20"/>
              </w:rPr>
              <w:t>0</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0F7EA6" w14:textId="0A2BBD25" w:rsidR="00EC10AB" w:rsidRPr="00D01AE7" w:rsidRDefault="00EC10AB" w:rsidP="00EC10AB">
            <w:pPr>
              <w:jc w:val="center"/>
              <w:rPr>
                <w:rFonts w:cs="Arial"/>
                <w:szCs w:val="20"/>
              </w:rPr>
            </w:pPr>
            <w:r w:rsidRPr="00D01AE7">
              <w:rPr>
                <w:rFonts w:cs="Arial"/>
                <w:szCs w:val="20"/>
              </w:rPr>
              <w:t>0</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7A54D7" w14:textId="71D91D8A" w:rsidR="00EC10AB" w:rsidRPr="00D01AE7" w:rsidRDefault="00EC10AB" w:rsidP="00EC10AB">
            <w:pPr>
              <w:jc w:val="center"/>
              <w:rPr>
                <w:rFonts w:cs="Arial"/>
                <w:szCs w:val="20"/>
              </w:rPr>
            </w:pPr>
            <w:r w:rsidRPr="00D01AE7">
              <w:rPr>
                <w:rFonts w:cs="Arial"/>
                <w:szCs w:val="20"/>
                <w:lang w:eastAsia="en-GB"/>
              </w:rPr>
              <w:t>0</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1567DE" w14:textId="42FFDE8C" w:rsidR="00EC10AB" w:rsidRPr="00D01AE7" w:rsidRDefault="00EC10AB" w:rsidP="00EC10AB">
            <w:pPr>
              <w:jc w:val="center"/>
              <w:rPr>
                <w:rFonts w:cs="Arial"/>
                <w:szCs w:val="20"/>
                <w:lang w:eastAsia="en-GB"/>
              </w:rPr>
            </w:pPr>
            <w:r w:rsidRPr="00D01AE7">
              <w:rPr>
                <w:rFonts w:cs="Arial"/>
                <w:szCs w:val="20"/>
                <w:lang w:eastAsia="en-GB"/>
              </w:rPr>
              <w:t>0</w:t>
            </w:r>
          </w:p>
        </w:tc>
        <w:tc>
          <w:tcPr>
            <w:tcW w:w="37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E3E661E" w14:textId="54733F0F" w:rsidR="00EC10AB" w:rsidRPr="00D01AE7" w:rsidRDefault="00D01AE7" w:rsidP="00EC10AB">
            <w:pPr>
              <w:jc w:val="center"/>
              <w:rPr>
                <w:rFonts w:cs="Arial"/>
                <w:szCs w:val="20"/>
                <w:lang w:eastAsia="en-GB"/>
              </w:rPr>
            </w:pPr>
            <w:r w:rsidRPr="00D01AE7">
              <w:rPr>
                <w:rFonts w:cs="Arial"/>
                <w:szCs w:val="20"/>
                <w:lang w:eastAsia="en-GB"/>
              </w:rPr>
              <w:t>0</w:t>
            </w:r>
          </w:p>
        </w:tc>
      </w:tr>
      <w:tr w:rsidR="00EC10AB" w:rsidRPr="005E7AC3" w14:paraId="0BEE2755" w14:textId="77777777" w:rsidTr="00EC10AB">
        <w:trPr>
          <w:trHeight w:val="315"/>
        </w:trPr>
        <w:tc>
          <w:tcPr>
            <w:tcW w:w="396" w:type="pct"/>
            <w:tcBorders>
              <w:top w:val="single" w:sz="8" w:space="0" w:color="000000"/>
              <w:left w:val="single" w:sz="8" w:space="0" w:color="000000"/>
              <w:bottom w:val="single" w:sz="8" w:space="0" w:color="000000"/>
              <w:right w:val="single" w:sz="8" w:space="0" w:color="000000"/>
            </w:tcBorders>
            <w:shd w:val="clear" w:color="000000" w:fill="CBE9D3"/>
            <w:vAlign w:val="center"/>
            <w:hideMark/>
          </w:tcPr>
          <w:p w14:paraId="53DF8CC6" w14:textId="77777777" w:rsidR="00EC10AB" w:rsidRPr="005E7AC3" w:rsidRDefault="00EC10AB" w:rsidP="00EC10AB">
            <w:pPr>
              <w:jc w:val="center"/>
              <w:rPr>
                <w:rFonts w:cs="Arial"/>
                <w:szCs w:val="20"/>
                <w:lang w:eastAsia="en-GB"/>
              </w:rPr>
            </w:pPr>
            <w:r w:rsidRPr="005E7AC3">
              <w:rPr>
                <w:rFonts w:cs="Arial"/>
                <w:szCs w:val="20"/>
                <w:lang w:eastAsia="en-GB"/>
              </w:rPr>
              <w:t>CM3</w:t>
            </w:r>
          </w:p>
        </w:tc>
        <w:tc>
          <w:tcPr>
            <w:tcW w:w="415"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2287314" w14:textId="77777777" w:rsidR="00EC10AB" w:rsidRPr="005E7AC3" w:rsidRDefault="00EC10AB" w:rsidP="00EC10AB">
            <w:pPr>
              <w:jc w:val="center"/>
              <w:rPr>
                <w:rFonts w:cs="Arial"/>
                <w:szCs w:val="20"/>
                <w:lang w:eastAsia="en-GB"/>
              </w:rPr>
            </w:pPr>
            <w:r w:rsidRPr="005E7AC3">
              <w:rPr>
                <w:rFonts w:cs="Arial"/>
                <w:szCs w:val="20"/>
                <w:lang w:eastAsia="en-GB"/>
              </w:rPr>
              <w:t>435,565</w:t>
            </w:r>
          </w:p>
        </w:tc>
        <w:tc>
          <w:tcPr>
            <w:tcW w:w="415"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4D3965E" w14:textId="77777777" w:rsidR="00EC10AB" w:rsidRPr="005E7AC3" w:rsidRDefault="00EC10AB" w:rsidP="00EC10AB">
            <w:pPr>
              <w:jc w:val="center"/>
              <w:rPr>
                <w:rFonts w:cs="Arial"/>
                <w:szCs w:val="20"/>
                <w:lang w:eastAsia="en-GB"/>
              </w:rPr>
            </w:pPr>
            <w:r w:rsidRPr="005E7AC3">
              <w:rPr>
                <w:rFonts w:cs="Arial"/>
                <w:szCs w:val="20"/>
                <w:lang w:eastAsia="en-GB"/>
              </w:rPr>
              <w:t>565,040</w:t>
            </w:r>
          </w:p>
        </w:tc>
        <w:tc>
          <w:tcPr>
            <w:tcW w:w="423"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3C4E4A" w14:textId="77777777" w:rsidR="00EC10AB" w:rsidRPr="005E7AC3" w:rsidRDefault="00EC10AB" w:rsidP="00EC10AB">
            <w:pPr>
              <w:jc w:val="center"/>
              <w:rPr>
                <w:rFonts w:cs="Arial"/>
                <w:szCs w:val="20"/>
                <w:lang w:eastAsia="en-GB"/>
              </w:rPr>
            </w:pPr>
            <w:r w:rsidRPr="005E7AC3">
              <w:rPr>
                <w:rFonts w:cs="Arial"/>
                <w:szCs w:val="20"/>
                <w:lang w:eastAsia="en-GB"/>
              </w:rPr>
              <w:t>Roadside</w:t>
            </w:r>
          </w:p>
        </w:tc>
        <w:tc>
          <w:tcPr>
            <w:tcW w:w="44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946B49" w14:textId="77777777" w:rsidR="00EC10AB" w:rsidRPr="005E7AC3" w:rsidRDefault="00EC10AB" w:rsidP="00EC10AB">
            <w:pPr>
              <w:jc w:val="center"/>
              <w:rPr>
                <w:rFonts w:cs="Arial"/>
                <w:szCs w:val="20"/>
                <w:lang w:eastAsia="en-GB"/>
              </w:rPr>
            </w:pPr>
            <w:r w:rsidRPr="005E7AC3">
              <w:rPr>
                <w:rFonts w:cs="Arial"/>
                <w:szCs w:val="20"/>
                <w:lang w:eastAsia="en-GB"/>
              </w:rPr>
              <w:t>Automatic</w:t>
            </w:r>
          </w:p>
        </w:tc>
        <w:tc>
          <w:tcPr>
            <w:tcW w:w="60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E4B9C4" w14:textId="6B603189" w:rsidR="00EC10AB" w:rsidRPr="005E7AC3" w:rsidRDefault="0082648A" w:rsidP="00EC10AB">
            <w:pPr>
              <w:jc w:val="center"/>
              <w:rPr>
                <w:rFonts w:cs="Arial"/>
                <w:szCs w:val="20"/>
                <w:lang w:eastAsia="en-GB"/>
              </w:rPr>
            </w:pPr>
            <w:r>
              <w:rPr>
                <w:rFonts w:cs="Arial"/>
                <w:szCs w:val="20"/>
                <w:lang w:eastAsia="en-GB"/>
              </w:rPr>
              <w:t>98.9</w:t>
            </w:r>
          </w:p>
        </w:tc>
        <w:tc>
          <w:tcPr>
            <w:tcW w:w="41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B783ED" w14:textId="4F59402D" w:rsidR="00EC10AB" w:rsidRPr="005E7AC3" w:rsidRDefault="00EC10AB" w:rsidP="00EC10AB">
            <w:pPr>
              <w:jc w:val="center"/>
              <w:rPr>
                <w:rFonts w:cs="Arial"/>
                <w:szCs w:val="20"/>
                <w:lang w:eastAsia="en-GB"/>
              </w:rPr>
            </w:pPr>
            <w:r w:rsidRPr="005E7AC3">
              <w:rPr>
                <w:rFonts w:cs="Arial"/>
                <w:szCs w:val="20"/>
                <w:lang w:eastAsia="en-GB"/>
              </w:rPr>
              <w:t>9</w:t>
            </w:r>
            <w:r w:rsidR="00695AF0">
              <w:rPr>
                <w:rFonts w:cs="Arial"/>
                <w:szCs w:val="20"/>
                <w:lang w:eastAsia="en-GB"/>
              </w:rPr>
              <w:t>8</w:t>
            </w:r>
            <w:r w:rsidRPr="005E7AC3">
              <w:rPr>
                <w:rFonts w:cs="Arial"/>
                <w:szCs w:val="20"/>
                <w:lang w:eastAsia="en-GB"/>
              </w:rPr>
              <w:t>.9</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4CC7FB" w14:textId="1ECC212D" w:rsidR="00EC10AB" w:rsidRPr="00D01AE7" w:rsidRDefault="00EC10AB" w:rsidP="00EC10AB">
            <w:pPr>
              <w:jc w:val="center"/>
              <w:rPr>
                <w:rFonts w:cs="Arial"/>
                <w:szCs w:val="20"/>
              </w:rPr>
            </w:pPr>
            <w:r w:rsidRPr="00D01AE7">
              <w:rPr>
                <w:rFonts w:cs="Arial"/>
                <w:szCs w:val="20"/>
              </w:rPr>
              <w:t>3 (268)</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A0BA74" w14:textId="599EF88B" w:rsidR="00EC10AB" w:rsidRPr="00D01AE7" w:rsidRDefault="00EC10AB" w:rsidP="00EC10AB">
            <w:pPr>
              <w:jc w:val="center"/>
              <w:rPr>
                <w:rFonts w:cs="Arial"/>
                <w:szCs w:val="20"/>
              </w:rPr>
            </w:pPr>
            <w:r w:rsidRPr="00D01AE7">
              <w:rPr>
                <w:rFonts w:cs="Arial"/>
                <w:szCs w:val="20"/>
              </w:rPr>
              <w:t>0</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1DDEE9" w14:textId="38D92580" w:rsidR="00EC10AB" w:rsidRPr="00D01AE7" w:rsidRDefault="00EC10AB" w:rsidP="00EC10AB">
            <w:pPr>
              <w:jc w:val="center"/>
              <w:rPr>
                <w:rFonts w:cs="Arial"/>
                <w:szCs w:val="20"/>
              </w:rPr>
            </w:pPr>
            <w:r w:rsidRPr="00D01AE7">
              <w:rPr>
                <w:rFonts w:cs="Arial"/>
                <w:szCs w:val="20"/>
                <w:lang w:eastAsia="en-GB"/>
              </w:rPr>
              <w:t>0</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FD8AA1" w14:textId="45850739" w:rsidR="00EC10AB" w:rsidRPr="00D01AE7" w:rsidRDefault="00EC10AB" w:rsidP="00EC10AB">
            <w:pPr>
              <w:jc w:val="center"/>
              <w:rPr>
                <w:rFonts w:cs="Arial"/>
                <w:szCs w:val="20"/>
                <w:lang w:eastAsia="en-GB"/>
              </w:rPr>
            </w:pPr>
            <w:r w:rsidRPr="00D01AE7">
              <w:rPr>
                <w:rFonts w:cs="Arial"/>
                <w:szCs w:val="20"/>
                <w:lang w:eastAsia="en-GB"/>
              </w:rPr>
              <w:t>0</w:t>
            </w:r>
          </w:p>
        </w:tc>
        <w:tc>
          <w:tcPr>
            <w:tcW w:w="37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ABC113D" w14:textId="2DFFE36D" w:rsidR="00EC10AB" w:rsidRPr="00D01AE7" w:rsidRDefault="00695AF0" w:rsidP="00EC10AB">
            <w:pPr>
              <w:jc w:val="center"/>
              <w:rPr>
                <w:rFonts w:cs="Arial"/>
                <w:szCs w:val="20"/>
                <w:lang w:eastAsia="en-GB"/>
              </w:rPr>
            </w:pPr>
            <w:r>
              <w:rPr>
                <w:rFonts w:cs="Arial"/>
                <w:szCs w:val="20"/>
                <w:lang w:eastAsia="en-GB"/>
              </w:rPr>
              <w:t>0</w:t>
            </w:r>
          </w:p>
        </w:tc>
      </w:tr>
    </w:tbl>
    <w:p w14:paraId="40A45D31" w14:textId="72D0B8A9" w:rsidR="00AF60C4" w:rsidRPr="00C77B81" w:rsidRDefault="00AF60C4" w:rsidP="002A068B">
      <w:pPr>
        <w:spacing w:line="240" w:lineRule="auto"/>
        <w:rPr>
          <w:b/>
          <w:color w:val="FF0000"/>
        </w:rPr>
      </w:pPr>
    </w:p>
    <w:p w14:paraId="2C961CA3" w14:textId="7960CE90" w:rsidR="00D024C9" w:rsidRPr="00786EB7" w:rsidRDefault="00D024C9" w:rsidP="002A068B">
      <w:pPr>
        <w:spacing w:line="240" w:lineRule="auto"/>
        <w:rPr>
          <w:b/>
          <w:szCs w:val="24"/>
        </w:rPr>
      </w:pPr>
      <w:r w:rsidRPr="00786EB7">
        <w:rPr>
          <w:b/>
          <w:szCs w:val="24"/>
        </w:rPr>
        <w:t>Notes:</w:t>
      </w:r>
    </w:p>
    <w:p w14:paraId="51293EF1" w14:textId="77D46EFC" w:rsidR="00E1160B" w:rsidRPr="00E1160B" w:rsidRDefault="00E1160B" w:rsidP="002A068B">
      <w:pPr>
        <w:spacing w:line="240" w:lineRule="auto"/>
        <w:rPr>
          <w:szCs w:val="24"/>
        </w:rPr>
      </w:pPr>
      <w:r>
        <w:rPr>
          <w:szCs w:val="24"/>
        </w:rPr>
        <w:t xml:space="preserve">Results are presented as the number of 1-hour periods where concentrations greater than </w:t>
      </w:r>
      <w:r w:rsidRPr="00786EB7">
        <w:rPr>
          <w:szCs w:val="24"/>
        </w:rPr>
        <w:t>200µg/m</w:t>
      </w:r>
      <w:r w:rsidRPr="00786EB7">
        <w:rPr>
          <w:szCs w:val="24"/>
          <w:vertAlign w:val="superscript"/>
        </w:rPr>
        <w:t>3</w:t>
      </w:r>
      <w:r>
        <w:rPr>
          <w:szCs w:val="24"/>
        </w:rPr>
        <w:t xml:space="preserve"> have been recorded.</w:t>
      </w:r>
    </w:p>
    <w:p w14:paraId="15D56BCA" w14:textId="20A26227" w:rsidR="00D024C9" w:rsidRDefault="00D024C9" w:rsidP="002A068B">
      <w:pPr>
        <w:spacing w:line="240" w:lineRule="auto"/>
        <w:rPr>
          <w:szCs w:val="24"/>
        </w:rPr>
      </w:pPr>
      <w:r w:rsidRPr="00786EB7">
        <w:rPr>
          <w:szCs w:val="24"/>
        </w:rPr>
        <w:t>Exceedances of the NO</w:t>
      </w:r>
      <w:r w:rsidRPr="00786EB7">
        <w:rPr>
          <w:szCs w:val="24"/>
          <w:vertAlign w:val="subscript"/>
        </w:rPr>
        <w:t>2</w:t>
      </w:r>
      <w:r w:rsidRPr="00786EB7">
        <w:rPr>
          <w:szCs w:val="24"/>
        </w:rPr>
        <w:t xml:space="preserve"> 1-hour mean objective (200µg/m</w:t>
      </w:r>
      <w:r w:rsidRPr="00786EB7">
        <w:rPr>
          <w:szCs w:val="24"/>
          <w:vertAlign w:val="superscript"/>
        </w:rPr>
        <w:t>3</w:t>
      </w:r>
      <w:r w:rsidRPr="00786EB7">
        <w:rPr>
          <w:szCs w:val="24"/>
        </w:rPr>
        <w:t xml:space="preserve"> not to be exceeded more than 18 times/year) are shown in </w:t>
      </w:r>
      <w:r w:rsidRPr="00786EB7">
        <w:rPr>
          <w:b/>
          <w:szCs w:val="24"/>
        </w:rPr>
        <w:t>bold</w:t>
      </w:r>
      <w:r w:rsidRPr="00786EB7">
        <w:rPr>
          <w:szCs w:val="24"/>
        </w:rPr>
        <w:t>.</w:t>
      </w:r>
    </w:p>
    <w:p w14:paraId="01C00954" w14:textId="33C544B9" w:rsidR="00786EB7" w:rsidRPr="00786EB7" w:rsidRDefault="00786EB7" w:rsidP="002A068B">
      <w:pPr>
        <w:spacing w:line="240" w:lineRule="auto"/>
        <w:rPr>
          <w:szCs w:val="24"/>
        </w:rPr>
      </w:pPr>
      <w:r w:rsidRPr="00786EB7">
        <w:rPr>
          <w:szCs w:val="24"/>
        </w:rPr>
        <w:t>If the period of valid data is less than 85%, the 99.8th percentile of 1-hour means is provided in brackets.</w:t>
      </w:r>
    </w:p>
    <w:p w14:paraId="3794DE4E" w14:textId="77777777" w:rsidR="00D024C9" w:rsidRPr="00786EB7" w:rsidRDefault="00D024C9" w:rsidP="002A068B">
      <w:pPr>
        <w:spacing w:line="240" w:lineRule="auto"/>
        <w:rPr>
          <w:szCs w:val="24"/>
        </w:rPr>
      </w:pPr>
      <w:r w:rsidRPr="00786EB7">
        <w:rPr>
          <w:szCs w:val="24"/>
        </w:rPr>
        <w:t>(1) Data capture for the monitoring period, in cases where monitoring was only carried out for part of the year.</w:t>
      </w:r>
    </w:p>
    <w:p w14:paraId="65211978" w14:textId="4AD50F2D" w:rsidR="00D024C9" w:rsidRDefault="00D024C9" w:rsidP="002A068B">
      <w:pPr>
        <w:spacing w:line="240" w:lineRule="auto"/>
        <w:rPr>
          <w:szCs w:val="24"/>
        </w:rPr>
      </w:pPr>
      <w:r w:rsidRPr="00786EB7">
        <w:rPr>
          <w:szCs w:val="24"/>
        </w:rPr>
        <w:t>(2) Data capture for the full calendar year (e.g. if monitoring was carried out for 6 months, the maximum data capture for the full calendar year is 50%).</w:t>
      </w:r>
    </w:p>
    <w:p w14:paraId="0AB04457" w14:textId="77777777" w:rsidR="00D024C9" w:rsidRDefault="00D024C9" w:rsidP="00400B0F">
      <w:pPr>
        <w:spacing w:before="0" w:after="0"/>
      </w:pPr>
      <w:r>
        <w:br w:type="page"/>
      </w:r>
    </w:p>
    <w:p w14:paraId="6CCBCE45" w14:textId="48A65367" w:rsidR="00786EB7" w:rsidRDefault="00D024C9" w:rsidP="00400B0F">
      <w:pPr>
        <w:pStyle w:val="Caption"/>
        <w:rPr>
          <w:rFonts w:cs="Arial"/>
          <w:szCs w:val="24"/>
        </w:rPr>
      </w:pPr>
      <w:bookmarkStart w:id="89" w:name="_Ref55286458"/>
      <w:bookmarkStart w:id="90" w:name="_Ref63330495"/>
      <w:bookmarkStart w:id="91" w:name="_Toc74642727"/>
      <w:r>
        <w:t>Table A.</w:t>
      </w:r>
      <w:r w:rsidR="00742944">
        <w:rPr>
          <w:color w:val="2B579A"/>
          <w:shd w:val="clear" w:color="auto" w:fill="E6E6E6"/>
        </w:rPr>
        <w:fldChar w:fldCharType="begin"/>
      </w:r>
      <w:r w:rsidR="00742944">
        <w:rPr>
          <w:noProof/>
        </w:rPr>
        <w:instrText xml:space="preserve"> SEQ Table_A \* ARABIC </w:instrText>
      </w:r>
      <w:r w:rsidR="00742944">
        <w:rPr>
          <w:color w:val="2B579A"/>
          <w:shd w:val="clear" w:color="auto" w:fill="E6E6E6"/>
        </w:rPr>
        <w:fldChar w:fldCharType="separate"/>
      </w:r>
      <w:r w:rsidR="0062374A">
        <w:rPr>
          <w:noProof/>
        </w:rPr>
        <w:t>6</w:t>
      </w:r>
      <w:r w:rsidR="00742944">
        <w:rPr>
          <w:color w:val="2B579A"/>
          <w:shd w:val="clear" w:color="auto" w:fill="E6E6E6"/>
        </w:rPr>
        <w:fldChar w:fldCharType="end"/>
      </w:r>
      <w:bookmarkEnd w:id="89"/>
      <w:bookmarkEnd w:id="90"/>
      <w:r>
        <w:t xml:space="preserve"> – </w:t>
      </w:r>
      <w:r w:rsidRPr="00D024C9">
        <w:t>Annual Mean PM</w:t>
      </w:r>
      <w:r w:rsidRPr="00D024C9">
        <w:rPr>
          <w:vertAlign w:val="subscript"/>
        </w:rPr>
        <w:t xml:space="preserve">10 </w:t>
      </w:r>
      <w:r w:rsidRPr="00D024C9">
        <w:t>Monitoring Results</w:t>
      </w:r>
      <w:r w:rsidR="00130A54">
        <w:t xml:space="preserve"> </w:t>
      </w:r>
      <w:r w:rsidR="00130A54" w:rsidRPr="00786EB7">
        <w:rPr>
          <w:szCs w:val="24"/>
        </w:rPr>
        <w:t>(</w:t>
      </w:r>
      <w:r w:rsidR="00130A54" w:rsidRPr="00786EB7">
        <w:rPr>
          <w:rFonts w:cs="Arial"/>
          <w:szCs w:val="24"/>
        </w:rPr>
        <w:t>µg/m</w:t>
      </w:r>
      <w:r w:rsidR="00130A54" w:rsidRPr="00786EB7">
        <w:rPr>
          <w:rFonts w:cs="Arial"/>
          <w:szCs w:val="24"/>
          <w:vertAlign w:val="superscript"/>
        </w:rPr>
        <w:t>3</w:t>
      </w:r>
      <w:r w:rsidR="00130A54" w:rsidRPr="00786EB7">
        <w:rPr>
          <w:rFonts w:cs="Arial"/>
          <w:szCs w:val="24"/>
        </w:rPr>
        <w:t>)</w:t>
      </w:r>
      <w:bookmarkEnd w:id="91"/>
    </w:p>
    <w:tbl>
      <w:tblPr>
        <w:tblStyle w:val="TableStyle4"/>
        <w:tblW w:w="0" w:type="auto"/>
        <w:tblLayout w:type="fixed"/>
        <w:tblLook w:val="04A0" w:firstRow="1" w:lastRow="0" w:firstColumn="1" w:lastColumn="0" w:noHBand="0" w:noVBand="1"/>
      </w:tblPr>
      <w:tblGrid>
        <w:gridCol w:w="1080"/>
        <w:gridCol w:w="1183"/>
        <w:gridCol w:w="1276"/>
        <w:gridCol w:w="1701"/>
        <w:gridCol w:w="1985"/>
        <w:gridCol w:w="1559"/>
        <w:gridCol w:w="1155"/>
        <w:gridCol w:w="1155"/>
        <w:gridCol w:w="1155"/>
        <w:gridCol w:w="1155"/>
        <w:gridCol w:w="1156"/>
      </w:tblGrid>
      <w:tr w:rsidR="00A626CC" w:rsidRPr="00116356" w14:paraId="1993C080" w14:textId="77777777" w:rsidTr="00331E6D">
        <w:trPr>
          <w:cnfStyle w:val="100000000000" w:firstRow="1" w:lastRow="0" w:firstColumn="0" w:lastColumn="0" w:oddVBand="0" w:evenVBand="0" w:oddHBand="0" w:evenHBand="0" w:firstRowFirstColumn="0" w:firstRowLastColumn="0" w:lastRowFirstColumn="0" w:lastRowLastColumn="0"/>
          <w:trHeight w:val="556"/>
          <w:tblHeader/>
        </w:trPr>
        <w:tc>
          <w:tcPr>
            <w:cnfStyle w:val="001000000000" w:firstRow="0" w:lastRow="0" w:firstColumn="1" w:lastColumn="0" w:oddVBand="0" w:evenVBand="0" w:oddHBand="0" w:evenHBand="0" w:firstRowFirstColumn="0" w:firstRowLastColumn="0" w:lastRowFirstColumn="0" w:lastRowLastColumn="0"/>
            <w:tcW w:w="1080" w:type="dxa"/>
          </w:tcPr>
          <w:p w14:paraId="61B5307D" w14:textId="77777777" w:rsidR="00A626CC" w:rsidRPr="00116356" w:rsidRDefault="00A626CC" w:rsidP="003A10E7">
            <w:pPr>
              <w:spacing w:line="240" w:lineRule="auto"/>
              <w:rPr>
                <w:rFonts w:ascii="Arial" w:hAnsi="Arial" w:cs="Arial"/>
                <w:sz w:val="20"/>
                <w:szCs w:val="20"/>
              </w:rPr>
            </w:pPr>
            <w:r w:rsidRPr="00116356">
              <w:rPr>
                <w:rFonts w:ascii="Arial" w:hAnsi="Arial" w:cs="Arial"/>
                <w:sz w:val="20"/>
                <w:szCs w:val="20"/>
              </w:rPr>
              <w:t>Site ID</w:t>
            </w:r>
          </w:p>
        </w:tc>
        <w:tc>
          <w:tcPr>
            <w:tcW w:w="1183" w:type="dxa"/>
          </w:tcPr>
          <w:p w14:paraId="7F121C53" w14:textId="77777777"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X OS Grid Ref (Easting)</w:t>
            </w:r>
          </w:p>
        </w:tc>
        <w:tc>
          <w:tcPr>
            <w:tcW w:w="1276" w:type="dxa"/>
          </w:tcPr>
          <w:p w14:paraId="74D59216" w14:textId="77777777"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Y OS Grid Ref (Northing)</w:t>
            </w:r>
          </w:p>
        </w:tc>
        <w:tc>
          <w:tcPr>
            <w:tcW w:w="1701" w:type="dxa"/>
          </w:tcPr>
          <w:p w14:paraId="40525299" w14:textId="77777777"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Site Type</w:t>
            </w:r>
          </w:p>
        </w:tc>
        <w:tc>
          <w:tcPr>
            <w:tcW w:w="1985" w:type="dxa"/>
          </w:tcPr>
          <w:p w14:paraId="3137941F" w14:textId="77777777"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 xml:space="preserve">Valid Data Capture for Monitoring Period (%) </w:t>
            </w:r>
            <w:r w:rsidRPr="00D024C9">
              <w:rPr>
                <w:rFonts w:ascii="Arial" w:hAnsi="Arial" w:cs="Arial"/>
                <w:sz w:val="20"/>
                <w:szCs w:val="20"/>
                <w:vertAlign w:val="superscript"/>
              </w:rPr>
              <w:t>(1)</w:t>
            </w:r>
          </w:p>
        </w:tc>
        <w:tc>
          <w:tcPr>
            <w:tcW w:w="1559" w:type="dxa"/>
          </w:tcPr>
          <w:p w14:paraId="3C3A2940" w14:textId="48708C00"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Valid Data Capture 20</w:t>
            </w:r>
            <w:r w:rsidR="00794D68">
              <w:rPr>
                <w:rFonts w:ascii="Arial" w:hAnsi="Arial" w:cs="Arial"/>
                <w:sz w:val="20"/>
                <w:szCs w:val="20"/>
              </w:rPr>
              <w:t>20</w:t>
            </w:r>
            <w:r w:rsidRPr="00116356">
              <w:rPr>
                <w:rFonts w:ascii="Arial" w:hAnsi="Arial" w:cs="Arial"/>
                <w:sz w:val="20"/>
                <w:szCs w:val="20"/>
              </w:rPr>
              <w:t xml:space="preserve"> (%) </w:t>
            </w:r>
            <w:r w:rsidRPr="00D024C9">
              <w:rPr>
                <w:rFonts w:ascii="Arial" w:hAnsi="Arial" w:cs="Arial"/>
                <w:sz w:val="20"/>
                <w:szCs w:val="20"/>
                <w:vertAlign w:val="superscript"/>
              </w:rPr>
              <w:t>(2)</w:t>
            </w:r>
          </w:p>
        </w:tc>
        <w:tc>
          <w:tcPr>
            <w:tcW w:w="1155" w:type="dxa"/>
          </w:tcPr>
          <w:p w14:paraId="1E4D5ABD" w14:textId="1FF40AED"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6</w:t>
            </w:r>
          </w:p>
        </w:tc>
        <w:tc>
          <w:tcPr>
            <w:tcW w:w="1155" w:type="dxa"/>
          </w:tcPr>
          <w:p w14:paraId="189EBA03" w14:textId="5FB70111"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7</w:t>
            </w:r>
          </w:p>
        </w:tc>
        <w:tc>
          <w:tcPr>
            <w:tcW w:w="1155" w:type="dxa"/>
          </w:tcPr>
          <w:p w14:paraId="1C52C528" w14:textId="3DB719C7"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8</w:t>
            </w:r>
          </w:p>
        </w:tc>
        <w:tc>
          <w:tcPr>
            <w:tcW w:w="1155" w:type="dxa"/>
          </w:tcPr>
          <w:p w14:paraId="2E624E9F" w14:textId="1549E9F2"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9</w:t>
            </w:r>
          </w:p>
        </w:tc>
        <w:tc>
          <w:tcPr>
            <w:tcW w:w="1156" w:type="dxa"/>
          </w:tcPr>
          <w:p w14:paraId="0C6F015B" w14:textId="5F90FA84"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116356">
              <w:rPr>
                <w:rFonts w:cs="Arial"/>
                <w:b w:val="0"/>
                <w:sz w:val="20"/>
                <w:szCs w:val="20"/>
              </w:rPr>
              <w:t>20</w:t>
            </w:r>
            <w:r>
              <w:rPr>
                <w:rFonts w:cs="Arial"/>
                <w:b w:val="0"/>
                <w:sz w:val="20"/>
                <w:szCs w:val="20"/>
              </w:rPr>
              <w:t>20</w:t>
            </w:r>
          </w:p>
        </w:tc>
      </w:tr>
      <w:tr w:rsidR="00331E6D" w:rsidRPr="005E7AC3" w14:paraId="299F2C2A" w14:textId="77777777" w:rsidTr="00331E6D">
        <w:trPr>
          <w:trHeight w:val="270"/>
        </w:trPr>
        <w:tc>
          <w:tcPr>
            <w:cnfStyle w:val="001000000000" w:firstRow="0" w:lastRow="0" w:firstColumn="1" w:lastColumn="0" w:oddVBand="0" w:evenVBand="0" w:oddHBand="0" w:evenHBand="0" w:firstRowFirstColumn="0" w:firstRowLastColumn="0" w:lastRowFirstColumn="0" w:lastRowLastColumn="0"/>
            <w:tcW w:w="1080" w:type="dxa"/>
            <w:hideMark/>
          </w:tcPr>
          <w:p w14:paraId="3CC01B7D" w14:textId="77777777" w:rsidR="00331E6D" w:rsidRPr="005E7AC3" w:rsidRDefault="00331E6D" w:rsidP="00331E6D">
            <w:pPr>
              <w:rPr>
                <w:rFonts w:cs="Arial"/>
                <w:szCs w:val="20"/>
                <w:lang w:eastAsia="en-GB"/>
              </w:rPr>
            </w:pPr>
            <w:r w:rsidRPr="005E7AC3">
              <w:rPr>
                <w:rFonts w:cs="Arial"/>
                <w:szCs w:val="20"/>
                <w:lang w:eastAsia="en-GB"/>
              </w:rPr>
              <w:t>CM2</w:t>
            </w:r>
          </w:p>
        </w:tc>
        <w:tc>
          <w:tcPr>
            <w:tcW w:w="1183" w:type="dxa"/>
          </w:tcPr>
          <w:p w14:paraId="30EB57D0" w14:textId="77777777"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434,068</w:t>
            </w:r>
          </w:p>
        </w:tc>
        <w:tc>
          <w:tcPr>
            <w:tcW w:w="1276" w:type="dxa"/>
          </w:tcPr>
          <w:p w14:paraId="4F949264" w14:textId="77777777"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563,695</w:t>
            </w:r>
          </w:p>
        </w:tc>
        <w:tc>
          <w:tcPr>
            <w:tcW w:w="1701" w:type="dxa"/>
            <w:hideMark/>
          </w:tcPr>
          <w:p w14:paraId="11C0D947" w14:textId="77777777"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Roadside</w:t>
            </w:r>
          </w:p>
        </w:tc>
        <w:tc>
          <w:tcPr>
            <w:tcW w:w="1985" w:type="dxa"/>
            <w:hideMark/>
          </w:tcPr>
          <w:p w14:paraId="2E5C2F31" w14:textId="3FAA234D" w:rsidR="00331E6D" w:rsidRPr="005E7AC3" w:rsidRDefault="0082648A" w:rsidP="0082648A">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Pr>
                <w:rFonts w:cs="Arial"/>
                <w:szCs w:val="20"/>
                <w:lang w:eastAsia="en-GB"/>
              </w:rPr>
              <w:t>99.5</w:t>
            </w:r>
          </w:p>
        </w:tc>
        <w:tc>
          <w:tcPr>
            <w:tcW w:w="1559" w:type="dxa"/>
            <w:hideMark/>
          </w:tcPr>
          <w:p w14:paraId="218B3FB2" w14:textId="03423FB7" w:rsidR="00331E6D" w:rsidRPr="005E7AC3" w:rsidRDefault="009B3F81"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Pr>
                <w:rFonts w:cs="Arial"/>
                <w:szCs w:val="20"/>
                <w:lang w:eastAsia="en-GB"/>
              </w:rPr>
              <w:t>99.5</w:t>
            </w:r>
          </w:p>
        </w:tc>
        <w:tc>
          <w:tcPr>
            <w:tcW w:w="1155" w:type="dxa"/>
            <w:hideMark/>
          </w:tcPr>
          <w:p w14:paraId="761761C8" w14:textId="7F4AD0C5"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14.3</w:t>
            </w:r>
          </w:p>
        </w:tc>
        <w:tc>
          <w:tcPr>
            <w:tcW w:w="1155" w:type="dxa"/>
            <w:hideMark/>
          </w:tcPr>
          <w:p w14:paraId="7A0F38DA" w14:textId="284305E5"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15</w:t>
            </w:r>
          </w:p>
        </w:tc>
        <w:tc>
          <w:tcPr>
            <w:tcW w:w="1155" w:type="dxa"/>
            <w:hideMark/>
          </w:tcPr>
          <w:p w14:paraId="3505057F" w14:textId="4DD71118"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18</w:t>
            </w:r>
          </w:p>
        </w:tc>
        <w:tc>
          <w:tcPr>
            <w:tcW w:w="1155" w:type="dxa"/>
            <w:hideMark/>
          </w:tcPr>
          <w:p w14:paraId="1CB0AE2F" w14:textId="77D826F1"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19</w:t>
            </w:r>
          </w:p>
        </w:tc>
        <w:tc>
          <w:tcPr>
            <w:tcW w:w="1156" w:type="dxa"/>
          </w:tcPr>
          <w:p w14:paraId="4116FAC5" w14:textId="393F8B52" w:rsidR="00331E6D" w:rsidRPr="005E7AC3" w:rsidRDefault="00192936"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Pr>
                <w:rFonts w:cs="Arial"/>
                <w:szCs w:val="20"/>
                <w:lang w:eastAsia="en-GB"/>
              </w:rPr>
              <w:t>18</w:t>
            </w:r>
          </w:p>
        </w:tc>
      </w:tr>
      <w:tr w:rsidR="00331E6D" w:rsidRPr="005E7AC3" w14:paraId="55183F7B" w14:textId="77777777" w:rsidTr="00331E6D">
        <w:trPr>
          <w:trHeight w:val="270"/>
        </w:trPr>
        <w:tc>
          <w:tcPr>
            <w:cnfStyle w:val="001000000000" w:firstRow="0" w:lastRow="0" w:firstColumn="1" w:lastColumn="0" w:oddVBand="0" w:evenVBand="0" w:oddHBand="0" w:evenHBand="0" w:firstRowFirstColumn="0" w:firstRowLastColumn="0" w:lastRowFirstColumn="0" w:lastRowLastColumn="0"/>
            <w:tcW w:w="1080" w:type="dxa"/>
            <w:hideMark/>
          </w:tcPr>
          <w:p w14:paraId="5A6DFD81" w14:textId="77777777" w:rsidR="00331E6D" w:rsidRPr="005E7AC3" w:rsidRDefault="00331E6D" w:rsidP="00331E6D">
            <w:pPr>
              <w:rPr>
                <w:rFonts w:cs="Arial"/>
                <w:szCs w:val="20"/>
                <w:lang w:eastAsia="en-GB"/>
              </w:rPr>
            </w:pPr>
            <w:r w:rsidRPr="005E7AC3">
              <w:rPr>
                <w:rFonts w:cs="Arial"/>
                <w:szCs w:val="20"/>
                <w:lang w:eastAsia="en-GB"/>
              </w:rPr>
              <w:t>CM3</w:t>
            </w:r>
          </w:p>
        </w:tc>
        <w:tc>
          <w:tcPr>
            <w:tcW w:w="1183" w:type="dxa"/>
          </w:tcPr>
          <w:p w14:paraId="48A32B2F" w14:textId="77777777"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435,565</w:t>
            </w:r>
          </w:p>
        </w:tc>
        <w:tc>
          <w:tcPr>
            <w:tcW w:w="1276" w:type="dxa"/>
          </w:tcPr>
          <w:p w14:paraId="36BC8470" w14:textId="77777777"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565,040</w:t>
            </w:r>
          </w:p>
        </w:tc>
        <w:tc>
          <w:tcPr>
            <w:tcW w:w="1701" w:type="dxa"/>
            <w:hideMark/>
          </w:tcPr>
          <w:p w14:paraId="793198C5" w14:textId="77777777"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Roadside</w:t>
            </w:r>
          </w:p>
        </w:tc>
        <w:tc>
          <w:tcPr>
            <w:tcW w:w="1985" w:type="dxa"/>
            <w:hideMark/>
          </w:tcPr>
          <w:p w14:paraId="7EBEC6D5" w14:textId="16C6CD39" w:rsidR="00331E6D" w:rsidRPr="005E7AC3" w:rsidRDefault="0082648A"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Pr>
                <w:rFonts w:cs="Arial"/>
                <w:szCs w:val="20"/>
                <w:lang w:eastAsia="en-GB"/>
              </w:rPr>
              <w:t>98.5</w:t>
            </w:r>
          </w:p>
        </w:tc>
        <w:tc>
          <w:tcPr>
            <w:tcW w:w="1559" w:type="dxa"/>
            <w:hideMark/>
          </w:tcPr>
          <w:p w14:paraId="77DED096" w14:textId="304ED27F" w:rsidR="00331E6D" w:rsidRPr="005E7AC3" w:rsidRDefault="00002930"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Pr>
                <w:rFonts w:cs="Arial"/>
                <w:szCs w:val="20"/>
                <w:lang w:eastAsia="en-GB"/>
              </w:rPr>
              <w:t>98.5</w:t>
            </w:r>
          </w:p>
        </w:tc>
        <w:tc>
          <w:tcPr>
            <w:tcW w:w="1155" w:type="dxa"/>
            <w:hideMark/>
          </w:tcPr>
          <w:p w14:paraId="39F50A65" w14:textId="4D131CDC"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17.3</w:t>
            </w:r>
          </w:p>
        </w:tc>
        <w:tc>
          <w:tcPr>
            <w:tcW w:w="1155" w:type="dxa"/>
            <w:hideMark/>
          </w:tcPr>
          <w:p w14:paraId="089CA0EF" w14:textId="4C7C0843"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18</w:t>
            </w:r>
          </w:p>
        </w:tc>
        <w:tc>
          <w:tcPr>
            <w:tcW w:w="1155" w:type="dxa"/>
            <w:hideMark/>
          </w:tcPr>
          <w:p w14:paraId="7BD694F0" w14:textId="6D7BA9EB"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19</w:t>
            </w:r>
          </w:p>
        </w:tc>
        <w:tc>
          <w:tcPr>
            <w:tcW w:w="1155" w:type="dxa"/>
            <w:hideMark/>
          </w:tcPr>
          <w:p w14:paraId="721CAA27" w14:textId="7A0723AB" w:rsidR="00331E6D" w:rsidRPr="005E7AC3" w:rsidRDefault="00331E6D"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5E7AC3">
              <w:rPr>
                <w:rFonts w:cs="Arial"/>
                <w:szCs w:val="20"/>
                <w:lang w:eastAsia="en-GB"/>
              </w:rPr>
              <w:t>19</w:t>
            </w:r>
          </w:p>
        </w:tc>
        <w:tc>
          <w:tcPr>
            <w:tcW w:w="1156" w:type="dxa"/>
          </w:tcPr>
          <w:p w14:paraId="50B89AD2" w14:textId="79AD5A71" w:rsidR="00331E6D" w:rsidRPr="005E7AC3" w:rsidRDefault="00002930" w:rsidP="00331E6D">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Pr>
                <w:rFonts w:cs="Arial"/>
                <w:szCs w:val="20"/>
                <w:lang w:eastAsia="en-GB"/>
              </w:rPr>
              <w:t>14</w:t>
            </w:r>
          </w:p>
        </w:tc>
      </w:tr>
    </w:tbl>
    <w:p w14:paraId="6DF80C00" w14:textId="41A5F073" w:rsidR="00331E6D" w:rsidRPr="00C77B81" w:rsidRDefault="00331E6D" w:rsidP="002A068B">
      <w:pPr>
        <w:spacing w:line="240" w:lineRule="auto"/>
        <w:rPr>
          <w:b/>
          <w:color w:val="FF0000"/>
        </w:rPr>
      </w:pPr>
    </w:p>
    <w:p w14:paraId="4CCF6C5E" w14:textId="50762C67" w:rsidR="00A626CC" w:rsidRPr="00C77B81" w:rsidRDefault="00A626CC" w:rsidP="002A068B">
      <w:pPr>
        <w:spacing w:line="240" w:lineRule="auto"/>
        <w:rPr>
          <w:b/>
          <w:color w:val="FF0000"/>
        </w:rPr>
      </w:pPr>
    </w:p>
    <w:p w14:paraId="261C376A" w14:textId="12689058" w:rsidR="00D024C9" w:rsidRPr="00786EB7" w:rsidRDefault="00B6413C" w:rsidP="002A068B">
      <w:pPr>
        <w:spacing w:line="240" w:lineRule="auto"/>
        <w:rPr>
          <w:szCs w:val="20"/>
        </w:rPr>
      </w:pPr>
      <w:sdt>
        <w:sdtPr>
          <w:rPr>
            <w:color w:val="2B579A"/>
            <w:szCs w:val="20"/>
            <w:shd w:val="clear" w:color="auto" w:fill="E6E6E6"/>
          </w:rPr>
          <w:id w:val="882838299"/>
          <w14:checkbox>
            <w14:checked w14:val="1"/>
            <w14:checkedState w14:val="2612" w14:font="MS Gothic"/>
            <w14:uncheckedState w14:val="2610" w14:font="MS Gothic"/>
          </w14:checkbox>
        </w:sdtPr>
        <w:sdtEndPr/>
        <w:sdtContent>
          <w:r w:rsidR="00192936">
            <w:rPr>
              <w:rFonts w:ascii="MS Gothic" w:eastAsia="MS Gothic" w:hAnsi="MS Gothic" w:hint="eastAsia"/>
              <w:color w:val="2B579A"/>
              <w:szCs w:val="20"/>
              <w:shd w:val="clear" w:color="auto" w:fill="E6E6E6"/>
            </w:rPr>
            <w:t>☒</w:t>
          </w:r>
        </w:sdtContent>
      </w:sdt>
      <w:r w:rsidR="00D024C9" w:rsidRPr="00786EB7">
        <w:rPr>
          <w:szCs w:val="20"/>
        </w:rPr>
        <w:t xml:space="preserve"> </w:t>
      </w:r>
      <w:r w:rsidR="00A626CC" w:rsidRPr="00090C17">
        <w:rPr>
          <w:b/>
          <w:szCs w:val="20"/>
        </w:rPr>
        <w:t>Annualisation has been conducted where data capture is &lt;75%</w:t>
      </w:r>
      <w:r w:rsidR="00A626CC">
        <w:rPr>
          <w:b/>
          <w:szCs w:val="20"/>
        </w:rPr>
        <w:t xml:space="preserve"> and &gt;33% in line with LAQM.TG16</w:t>
      </w:r>
    </w:p>
    <w:p w14:paraId="2386A0CC" w14:textId="77777777" w:rsidR="00D024C9" w:rsidRPr="00786EB7" w:rsidRDefault="00D024C9" w:rsidP="002A068B">
      <w:pPr>
        <w:spacing w:line="240" w:lineRule="auto"/>
        <w:rPr>
          <w:b/>
        </w:rPr>
      </w:pPr>
      <w:r w:rsidRPr="00786EB7">
        <w:rPr>
          <w:b/>
        </w:rPr>
        <w:t>Notes:</w:t>
      </w:r>
    </w:p>
    <w:p w14:paraId="38DD5025" w14:textId="77777777" w:rsidR="00564B48" w:rsidRPr="00090C17" w:rsidRDefault="00564B48" w:rsidP="002A068B">
      <w:pPr>
        <w:spacing w:line="240" w:lineRule="auto"/>
      </w:pPr>
      <w:r>
        <w:t xml:space="preserve">The annual mean concentrations are presented as </w:t>
      </w:r>
      <w:r>
        <w:rPr>
          <w:rFonts w:cs="Arial"/>
        </w:rPr>
        <w:t>µ</w:t>
      </w:r>
      <w:r>
        <w:t>g/m</w:t>
      </w:r>
      <w:r>
        <w:rPr>
          <w:vertAlign w:val="superscript"/>
        </w:rPr>
        <w:t>3</w:t>
      </w:r>
      <w:r w:rsidRPr="00090C17">
        <w:t>.</w:t>
      </w:r>
    </w:p>
    <w:p w14:paraId="1D587FEC" w14:textId="0FBADB08" w:rsidR="00564B48" w:rsidRPr="00090C17" w:rsidRDefault="00564B48" w:rsidP="002A068B">
      <w:pPr>
        <w:spacing w:line="240" w:lineRule="auto"/>
      </w:pPr>
      <w:r w:rsidRPr="00090C17">
        <w:t xml:space="preserve">Exceedances of the </w:t>
      </w:r>
      <w:r w:rsidR="00794D68">
        <w:t>PM</w:t>
      </w:r>
      <w:r w:rsidR="00794D68">
        <w:rPr>
          <w:vertAlign w:val="subscript"/>
        </w:rPr>
        <w:t>10</w:t>
      </w:r>
      <w:r w:rsidRPr="00090C17">
        <w:t xml:space="preserve"> annual mean objective of 40µg/m</w:t>
      </w:r>
      <w:r w:rsidRPr="00090C17">
        <w:rPr>
          <w:vertAlign w:val="superscript"/>
        </w:rPr>
        <w:t>3</w:t>
      </w:r>
      <w:r w:rsidRPr="00090C17">
        <w:t xml:space="preserve"> are shown in </w:t>
      </w:r>
      <w:r w:rsidRPr="00090C17">
        <w:rPr>
          <w:b/>
        </w:rPr>
        <w:t>bold</w:t>
      </w:r>
      <w:r w:rsidRPr="00090C17">
        <w:t>.</w:t>
      </w:r>
    </w:p>
    <w:p w14:paraId="22300D82" w14:textId="587202B1" w:rsidR="00564B48" w:rsidRDefault="00564B48" w:rsidP="002A068B">
      <w:pPr>
        <w:spacing w:line="240" w:lineRule="auto"/>
      </w:pPr>
      <w:r w:rsidRPr="00564B48">
        <w:rPr>
          <w:bCs/>
        </w:rPr>
        <w:t>All means have been “annualised” as per LAQM.TG16 if valid data capture for the full calendar year is less than 75</w:t>
      </w:r>
      <w:r w:rsidRPr="002F045B">
        <w:rPr>
          <w:bCs/>
        </w:rPr>
        <w:t xml:space="preserve">%. See </w:t>
      </w:r>
      <w:hyperlink w:anchor="_Appendix_C:_Supporting" w:history="1">
        <w:r w:rsidRPr="0008563D">
          <w:t>Appendix C</w:t>
        </w:r>
      </w:hyperlink>
      <w:r w:rsidRPr="00564B48">
        <w:rPr>
          <w:bCs/>
        </w:rPr>
        <w:t xml:space="preserve"> for details.</w:t>
      </w:r>
    </w:p>
    <w:p w14:paraId="0F93B5AB" w14:textId="67304A76" w:rsidR="00D024C9" w:rsidRPr="00786EB7" w:rsidRDefault="00D024C9" w:rsidP="002A068B">
      <w:pPr>
        <w:spacing w:line="240" w:lineRule="auto"/>
      </w:pPr>
      <w:r w:rsidRPr="00786EB7">
        <w:t>(1) Data capture for the monitoring period, in cases where monitoring was only carried out for part of the year.</w:t>
      </w:r>
    </w:p>
    <w:p w14:paraId="79979349" w14:textId="68EC8793" w:rsidR="00D024C9" w:rsidRDefault="00D024C9" w:rsidP="002A068B">
      <w:pPr>
        <w:spacing w:line="240" w:lineRule="auto"/>
      </w:pPr>
      <w:r w:rsidRPr="00786EB7">
        <w:t>(2) Data capture for the full calendar year (e.g. if monitoring was carried out for 6 months, the maximum data capture for the full calen</w:t>
      </w:r>
      <w:r w:rsidR="00786EB7">
        <w:t>dar year is 50%).</w:t>
      </w:r>
    </w:p>
    <w:p w14:paraId="46FA638F" w14:textId="77777777" w:rsidR="00D024C9" w:rsidRDefault="00D024C9" w:rsidP="00400B0F">
      <w:pPr>
        <w:spacing w:before="0" w:after="0"/>
      </w:pPr>
      <w:r>
        <w:br w:type="page"/>
      </w:r>
    </w:p>
    <w:p w14:paraId="000B80AE" w14:textId="0E28E575" w:rsidR="00722E1F" w:rsidRDefault="00722E1F" w:rsidP="00400B0F">
      <w:pPr>
        <w:pStyle w:val="Caption"/>
      </w:pPr>
      <w:bookmarkStart w:id="92" w:name="_Toc74755623"/>
      <w:r>
        <w:t>Figure A.</w:t>
      </w:r>
      <w:r w:rsidR="004813E8">
        <w:rPr>
          <w:color w:val="2B579A"/>
          <w:shd w:val="clear" w:color="auto" w:fill="E6E6E6"/>
        </w:rPr>
        <w:fldChar w:fldCharType="begin"/>
      </w:r>
      <w:r w:rsidR="004813E8">
        <w:rPr>
          <w:noProof/>
        </w:rPr>
        <w:instrText xml:space="preserve"> SEQ Figure_A \* ARABIC </w:instrText>
      </w:r>
      <w:r w:rsidR="004813E8">
        <w:rPr>
          <w:color w:val="2B579A"/>
          <w:shd w:val="clear" w:color="auto" w:fill="E6E6E6"/>
        </w:rPr>
        <w:fldChar w:fldCharType="separate"/>
      </w:r>
      <w:r w:rsidR="0062374A">
        <w:rPr>
          <w:noProof/>
        </w:rPr>
        <w:t>2</w:t>
      </w:r>
      <w:r w:rsidR="004813E8">
        <w:rPr>
          <w:color w:val="2B579A"/>
          <w:shd w:val="clear" w:color="auto" w:fill="E6E6E6"/>
        </w:rPr>
        <w:fldChar w:fldCharType="end"/>
      </w:r>
      <w:r>
        <w:t xml:space="preserve"> – </w:t>
      </w:r>
      <w:r w:rsidRPr="00722E1F">
        <w:t>Trends in Annual Mean PM</w:t>
      </w:r>
      <w:r w:rsidRPr="00722E1F">
        <w:rPr>
          <w:vertAlign w:val="subscript"/>
        </w:rPr>
        <w:t>10</w:t>
      </w:r>
      <w:r w:rsidRPr="00722E1F">
        <w:t xml:space="preserve"> Concentrations</w:t>
      </w:r>
      <w:bookmarkStart w:id="93" w:name="_Ref55286466"/>
      <w:bookmarkEnd w:id="92"/>
    </w:p>
    <w:p w14:paraId="69DD5E2E" w14:textId="63CBBD84" w:rsidR="007146E8" w:rsidRPr="007146E8" w:rsidRDefault="007146E8" w:rsidP="007146E8">
      <w:r>
        <w:rPr>
          <w:noProof/>
        </w:rPr>
        <w:drawing>
          <wp:inline distT="0" distB="0" distL="0" distR="0" wp14:anchorId="1A32562F" wp14:editId="1CF2D634">
            <wp:extent cx="9144000" cy="5549775"/>
            <wp:effectExtent l="0" t="0" r="0" b="13335"/>
            <wp:docPr id="34" name="Chart 34">
              <a:extLst xmlns:a="http://schemas.openxmlformats.org/drawingml/2006/main">
                <a:ext uri="{FF2B5EF4-FFF2-40B4-BE49-F238E27FC236}">
                  <a16:creationId xmlns:a16="http://schemas.microsoft.com/office/drawing/2014/main" id="{3F8F1D29-7720-463B-9D0D-FC061DFBE3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248B466" w14:textId="3D998A9F" w:rsidR="00786EB7" w:rsidRDefault="00D024C9" w:rsidP="00400B0F">
      <w:pPr>
        <w:pStyle w:val="Caption"/>
        <w:rPr>
          <w:rFonts w:cs="Arial"/>
          <w:szCs w:val="24"/>
        </w:rPr>
      </w:pPr>
      <w:bookmarkStart w:id="94" w:name="_Ref63330501"/>
      <w:bookmarkStart w:id="95" w:name="_Toc74642728"/>
      <w:r>
        <w:t>Table A.</w:t>
      </w:r>
      <w:r w:rsidR="00742944">
        <w:rPr>
          <w:color w:val="2B579A"/>
          <w:shd w:val="clear" w:color="auto" w:fill="E6E6E6"/>
        </w:rPr>
        <w:fldChar w:fldCharType="begin"/>
      </w:r>
      <w:r w:rsidR="00742944">
        <w:rPr>
          <w:noProof/>
        </w:rPr>
        <w:instrText xml:space="preserve"> SEQ Table_A \* ARABIC </w:instrText>
      </w:r>
      <w:r w:rsidR="00742944">
        <w:rPr>
          <w:color w:val="2B579A"/>
          <w:shd w:val="clear" w:color="auto" w:fill="E6E6E6"/>
        </w:rPr>
        <w:fldChar w:fldCharType="separate"/>
      </w:r>
      <w:r w:rsidR="0062374A">
        <w:rPr>
          <w:noProof/>
        </w:rPr>
        <w:t>7</w:t>
      </w:r>
      <w:r w:rsidR="00742944">
        <w:rPr>
          <w:color w:val="2B579A"/>
          <w:shd w:val="clear" w:color="auto" w:fill="E6E6E6"/>
        </w:rPr>
        <w:fldChar w:fldCharType="end"/>
      </w:r>
      <w:bookmarkEnd w:id="93"/>
      <w:bookmarkEnd w:id="94"/>
      <w:r>
        <w:t xml:space="preserve"> – </w:t>
      </w:r>
      <w:r w:rsidRPr="008603A5">
        <w:t xml:space="preserve">24-Hour </w:t>
      </w:r>
      <w:r w:rsidRPr="00786EB7">
        <w:rPr>
          <w:szCs w:val="24"/>
        </w:rPr>
        <w:t xml:space="preserve">Mean </w:t>
      </w:r>
      <w:r w:rsidRPr="00786EB7">
        <w:rPr>
          <w:rFonts w:cs="Arial"/>
          <w:szCs w:val="24"/>
        </w:rPr>
        <w:t>PM</w:t>
      </w:r>
      <w:r w:rsidRPr="00786EB7">
        <w:rPr>
          <w:rFonts w:cs="Arial"/>
          <w:szCs w:val="24"/>
          <w:vertAlign w:val="subscript"/>
        </w:rPr>
        <w:t>10</w:t>
      </w:r>
      <w:r w:rsidRPr="00786EB7">
        <w:rPr>
          <w:szCs w:val="24"/>
        </w:rPr>
        <w:t xml:space="preserve"> Monitoring Results</w:t>
      </w:r>
      <w:r w:rsidR="00786EB7" w:rsidRPr="00786EB7">
        <w:rPr>
          <w:szCs w:val="24"/>
        </w:rPr>
        <w:t xml:space="preserve">, </w:t>
      </w:r>
      <w:r w:rsidR="00D83B22">
        <w:rPr>
          <w:szCs w:val="24"/>
        </w:rPr>
        <w:t xml:space="preserve">Number of </w:t>
      </w:r>
      <w:r w:rsidR="00786EB7" w:rsidRPr="00786EB7">
        <w:rPr>
          <w:rFonts w:cs="Arial"/>
          <w:szCs w:val="24"/>
        </w:rPr>
        <w:t>PM</w:t>
      </w:r>
      <w:r w:rsidR="00786EB7" w:rsidRPr="00786EB7">
        <w:rPr>
          <w:rFonts w:cs="Arial"/>
          <w:szCs w:val="24"/>
          <w:vertAlign w:val="subscript"/>
        </w:rPr>
        <w:t>10</w:t>
      </w:r>
      <w:r w:rsidR="00786EB7" w:rsidRPr="00786EB7">
        <w:rPr>
          <w:rFonts w:cs="Arial"/>
          <w:szCs w:val="24"/>
        </w:rPr>
        <w:t xml:space="preserve"> 24-Hour Means &gt; 50µg/m</w:t>
      </w:r>
      <w:r w:rsidR="00786EB7" w:rsidRPr="00786EB7">
        <w:rPr>
          <w:rFonts w:cs="Arial"/>
          <w:szCs w:val="24"/>
          <w:vertAlign w:val="superscript"/>
        </w:rPr>
        <w:t>3</w:t>
      </w:r>
      <w:bookmarkEnd w:id="95"/>
    </w:p>
    <w:tbl>
      <w:tblPr>
        <w:tblStyle w:val="TableStyle4"/>
        <w:tblW w:w="0" w:type="auto"/>
        <w:tblLayout w:type="fixed"/>
        <w:tblLook w:val="04A0" w:firstRow="1" w:lastRow="0" w:firstColumn="1" w:lastColumn="0" w:noHBand="0" w:noVBand="1"/>
      </w:tblPr>
      <w:tblGrid>
        <w:gridCol w:w="1080"/>
        <w:gridCol w:w="1036"/>
        <w:gridCol w:w="1147"/>
        <w:gridCol w:w="1977"/>
        <w:gridCol w:w="1985"/>
        <w:gridCol w:w="1559"/>
        <w:gridCol w:w="1155"/>
        <w:gridCol w:w="1155"/>
        <w:gridCol w:w="1155"/>
        <w:gridCol w:w="1155"/>
        <w:gridCol w:w="1156"/>
      </w:tblGrid>
      <w:tr w:rsidR="00A626CC" w:rsidRPr="00116356" w14:paraId="6FAD44AC" w14:textId="77777777" w:rsidTr="004A5D1A">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000" w:firstRow="0" w:lastRow="0" w:firstColumn="1" w:lastColumn="0" w:oddVBand="0" w:evenVBand="0" w:oddHBand="0" w:evenHBand="0" w:firstRowFirstColumn="0" w:firstRowLastColumn="0" w:lastRowFirstColumn="0" w:lastRowLastColumn="0"/>
            <w:tcW w:w="1080" w:type="dxa"/>
          </w:tcPr>
          <w:p w14:paraId="0A3D7A02" w14:textId="77777777" w:rsidR="00A626CC" w:rsidRPr="00116356" w:rsidRDefault="00A626CC" w:rsidP="003A10E7">
            <w:pPr>
              <w:spacing w:line="240" w:lineRule="auto"/>
              <w:rPr>
                <w:rFonts w:ascii="Arial" w:hAnsi="Arial" w:cs="Arial"/>
                <w:sz w:val="20"/>
                <w:szCs w:val="20"/>
              </w:rPr>
            </w:pPr>
            <w:r w:rsidRPr="00116356">
              <w:rPr>
                <w:rFonts w:ascii="Arial" w:hAnsi="Arial" w:cs="Arial"/>
                <w:sz w:val="20"/>
                <w:szCs w:val="20"/>
              </w:rPr>
              <w:t>Site ID</w:t>
            </w:r>
          </w:p>
        </w:tc>
        <w:tc>
          <w:tcPr>
            <w:tcW w:w="1036" w:type="dxa"/>
          </w:tcPr>
          <w:p w14:paraId="737E671B" w14:textId="77777777"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X OS Grid Ref (Easting)</w:t>
            </w:r>
          </w:p>
        </w:tc>
        <w:tc>
          <w:tcPr>
            <w:tcW w:w="1147" w:type="dxa"/>
          </w:tcPr>
          <w:p w14:paraId="5346627B" w14:textId="77777777"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Y OS Grid Ref (Northing)</w:t>
            </w:r>
          </w:p>
        </w:tc>
        <w:tc>
          <w:tcPr>
            <w:tcW w:w="1977" w:type="dxa"/>
          </w:tcPr>
          <w:p w14:paraId="4E3CE345" w14:textId="77777777"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Site Type</w:t>
            </w:r>
          </w:p>
        </w:tc>
        <w:tc>
          <w:tcPr>
            <w:tcW w:w="1985" w:type="dxa"/>
          </w:tcPr>
          <w:p w14:paraId="10E7BF10" w14:textId="77777777"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 xml:space="preserve">Valid Data Capture for Monitoring Period (%) </w:t>
            </w:r>
            <w:r w:rsidRPr="00D024C9">
              <w:rPr>
                <w:rFonts w:ascii="Arial" w:hAnsi="Arial" w:cs="Arial"/>
                <w:sz w:val="20"/>
                <w:szCs w:val="20"/>
                <w:vertAlign w:val="superscript"/>
              </w:rPr>
              <w:t>(1)</w:t>
            </w:r>
          </w:p>
        </w:tc>
        <w:tc>
          <w:tcPr>
            <w:tcW w:w="1559" w:type="dxa"/>
          </w:tcPr>
          <w:p w14:paraId="259978FE" w14:textId="161E3556"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Valid Data Capture 20</w:t>
            </w:r>
            <w:r w:rsidR="00D83B22">
              <w:rPr>
                <w:rFonts w:ascii="Arial" w:hAnsi="Arial" w:cs="Arial"/>
                <w:sz w:val="20"/>
                <w:szCs w:val="20"/>
              </w:rPr>
              <w:t>20</w:t>
            </w:r>
            <w:r w:rsidRPr="00116356">
              <w:rPr>
                <w:rFonts w:ascii="Arial" w:hAnsi="Arial" w:cs="Arial"/>
                <w:sz w:val="20"/>
                <w:szCs w:val="20"/>
              </w:rPr>
              <w:t xml:space="preserve"> (%) </w:t>
            </w:r>
            <w:r w:rsidRPr="00D024C9">
              <w:rPr>
                <w:rFonts w:ascii="Arial" w:hAnsi="Arial" w:cs="Arial"/>
                <w:sz w:val="20"/>
                <w:szCs w:val="20"/>
                <w:vertAlign w:val="superscript"/>
              </w:rPr>
              <w:t>(2)</w:t>
            </w:r>
          </w:p>
        </w:tc>
        <w:tc>
          <w:tcPr>
            <w:tcW w:w="1155" w:type="dxa"/>
          </w:tcPr>
          <w:p w14:paraId="0BC37A40" w14:textId="77A65F0D"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6</w:t>
            </w:r>
          </w:p>
        </w:tc>
        <w:tc>
          <w:tcPr>
            <w:tcW w:w="1155" w:type="dxa"/>
          </w:tcPr>
          <w:p w14:paraId="653591C9" w14:textId="4B5CB8BA"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7</w:t>
            </w:r>
          </w:p>
        </w:tc>
        <w:tc>
          <w:tcPr>
            <w:tcW w:w="1155" w:type="dxa"/>
          </w:tcPr>
          <w:p w14:paraId="5326B01F" w14:textId="6DD105FE"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8</w:t>
            </w:r>
          </w:p>
        </w:tc>
        <w:tc>
          <w:tcPr>
            <w:tcW w:w="1155" w:type="dxa"/>
          </w:tcPr>
          <w:p w14:paraId="0E3F88E1" w14:textId="54168B72"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9</w:t>
            </w:r>
          </w:p>
        </w:tc>
        <w:tc>
          <w:tcPr>
            <w:tcW w:w="1156" w:type="dxa"/>
          </w:tcPr>
          <w:p w14:paraId="3672DDA1" w14:textId="470196EE" w:rsidR="00A626CC" w:rsidRPr="00116356" w:rsidRDefault="00A626C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116356">
              <w:rPr>
                <w:rFonts w:cs="Arial"/>
                <w:b w:val="0"/>
                <w:sz w:val="20"/>
                <w:szCs w:val="20"/>
              </w:rPr>
              <w:t>20</w:t>
            </w:r>
            <w:r>
              <w:rPr>
                <w:rFonts w:cs="Arial"/>
                <w:b w:val="0"/>
                <w:sz w:val="20"/>
                <w:szCs w:val="20"/>
              </w:rPr>
              <w:t>20</w:t>
            </w:r>
          </w:p>
        </w:tc>
      </w:tr>
      <w:tr w:rsidR="00005460" w:rsidRPr="00FD6575" w14:paraId="73D1B5E3" w14:textId="77777777" w:rsidTr="00005460">
        <w:trPr>
          <w:trHeight w:val="315"/>
        </w:trPr>
        <w:tc>
          <w:tcPr>
            <w:cnfStyle w:val="001000000000" w:firstRow="0" w:lastRow="0" w:firstColumn="1" w:lastColumn="0" w:oddVBand="0" w:evenVBand="0" w:oddHBand="0" w:evenHBand="0" w:firstRowFirstColumn="0" w:firstRowLastColumn="0" w:lastRowFirstColumn="0" w:lastRowLastColumn="0"/>
            <w:tcW w:w="1080" w:type="dxa"/>
            <w:hideMark/>
          </w:tcPr>
          <w:p w14:paraId="6CE6EC3A" w14:textId="77777777" w:rsidR="00005460" w:rsidRPr="00FD6575" w:rsidRDefault="00005460" w:rsidP="00005460">
            <w:pPr>
              <w:rPr>
                <w:rFonts w:cs="Arial"/>
                <w:szCs w:val="20"/>
                <w:lang w:eastAsia="en-GB"/>
              </w:rPr>
            </w:pPr>
            <w:r w:rsidRPr="00FD6575">
              <w:rPr>
                <w:rFonts w:cs="Arial"/>
                <w:szCs w:val="20"/>
                <w:lang w:eastAsia="en-GB"/>
              </w:rPr>
              <w:t>CM2</w:t>
            </w:r>
          </w:p>
        </w:tc>
        <w:tc>
          <w:tcPr>
            <w:tcW w:w="1036" w:type="dxa"/>
          </w:tcPr>
          <w:p w14:paraId="72017151" w14:textId="77777777"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FD6575">
              <w:rPr>
                <w:rFonts w:cs="Arial"/>
                <w:szCs w:val="20"/>
                <w:lang w:eastAsia="en-GB"/>
              </w:rPr>
              <w:t>434,068</w:t>
            </w:r>
          </w:p>
        </w:tc>
        <w:tc>
          <w:tcPr>
            <w:tcW w:w="1147" w:type="dxa"/>
          </w:tcPr>
          <w:p w14:paraId="3C652132" w14:textId="77777777"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FD6575">
              <w:rPr>
                <w:rFonts w:cs="Arial"/>
                <w:szCs w:val="20"/>
                <w:lang w:eastAsia="en-GB"/>
              </w:rPr>
              <w:t>563,695</w:t>
            </w:r>
          </w:p>
        </w:tc>
        <w:tc>
          <w:tcPr>
            <w:tcW w:w="1977" w:type="dxa"/>
            <w:hideMark/>
          </w:tcPr>
          <w:p w14:paraId="0EB73CE1" w14:textId="77777777"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FD6575">
              <w:rPr>
                <w:rFonts w:cs="Arial"/>
                <w:szCs w:val="20"/>
                <w:lang w:eastAsia="en-GB"/>
              </w:rPr>
              <w:t>Roadside</w:t>
            </w:r>
          </w:p>
        </w:tc>
        <w:tc>
          <w:tcPr>
            <w:tcW w:w="1985" w:type="dxa"/>
            <w:hideMark/>
          </w:tcPr>
          <w:p w14:paraId="26A742AE" w14:textId="77777777"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FD6575">
              <w:rPr>
                <w:rFonts w:cs="Arial"/>
                <w:szCs w:val="20"/>
                <w:lang w:eastAsia="en-GB"/>
              </w:rPr>
              <w:t>99.6</w:t>
            </w:r>
          </w:p>
        </w:tc>
        <w:tc>
          <w:tcPr>
            <w:tcW w:w="1559" w:type="dxa"/>
            <w:hideMark/>
          </w:tcPr>
          <w:p w14:paraId="79B5D6DD" w14:textId="77777777"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FD6575">
              <w:rPr>
                <w:rFonts w:cs="Arial"/>
                <w:szCs w:val="20"/>
                <w:lang w:eastAsia="en-GB"/>
              </w:rPr>
              <w:t>99.6</w:t>
            </w:r>
          </w:p>
        </w:tc>
        <w:tc>
          <w:tcPr>
            <w:tcW w:w="1155" w:type="dxa"/>
            <w:hideMark/>
          </w:tcPr>
          <w:p w14:paraId="5000CB54" w14:textId="61014305" w:rsidR="00005460" w:rsidRPr="00005460"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rPr>
            </w:pPr>
            <w:r w:rsidRPr="00005460">
              <w:rPr>
                <w:rFonts w:cs="Arial"/>
                <w:szCs w:val="20"/>
              </w:rPr>
              <w:t>0</w:t>
            </w:r>
          </w:p>
        </w:tc>
        <w:tc>
          <w:tcPr>
            <w:tcW w:w="1155" w:type="dxa"/>
            <w:hideMark/>
          </w:tcPr>
          <w:p w14:paraId="498536D9" w14:textId="0A55224B" w:rsidR="00005460" w:rsidRPr="00005460"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rPr>
            </w:pPr>
            <w:r w:rsidRPr="00005460">
              <w:rPr>
                <w:rFonts w:cs="Arial"/>
                <w:szCs w:val="20"/>
              </w:rPr>
              <w:t>1</w:t>
            </w:r>
          </w:p>
        </w:tc>
        <w:tc>
          <w:tcPr>
            <w:tcW w:w="1155" w:type="dxa"/>
            <w:hideMark/>
          </w:tcPr>
          <w:p w14:paraId="1695FACD" w14:textId="538F4259" w:rsidR="00005460" w:rsidRPr="00005460"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rPr>
            </w:pPr>
            <w:r w:rsidRPr="00005460">
              <w:rPr>
                <w:rFonts w:cs="Arial"/>
                <w:szCs w:val="20"/>
                <w:lang w:eastAsia="en-GB"/>
              </w:rPr>
              <w:t>2 (67)</w:t>
            </w:r>
          </w:p>
        </w:tc>
        <w:tc>
          <w:tcPr>
            <w:tcW w:w="1155" w:type="dxa"/>
            <w:hideMark/>
          </w:tcPr>
          <w:p w14:paraId="12C34764" w14:textId="72E3378D"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b/>
                <w:bCs/>
                <w:szCs w:val="20"/>
                <w:lang w:eastAsia="en-GB"/>
              </w:rPr>
            </w:pPr>
            <w:r w:rsidRPr="00FD6575">
              <w:rPr>
                <w:rFonts w:cs="Arial"/>
                <w:szCs w:val="20"/>
                <w:lang w:eastAsia="en-GB"/>
              </w:rPr>
              <w:t>2(69)</w:t>
            </w:r>
          </w:p>
        </w:tc>
        <w:tc>
          <w:tcPr>
            <w:tcW w:w="1156" w:type="dxa"/>
          </w:tcPr>
          <w:p w14:paraId="689694A7" w14:textId="1E803B4A"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Pr>
                <w:rFonts w:cs="Arial"/>
                <w:szCs w:val="20"/>
                <w:lang w:eastAsia="en-GB"/>
              </w:rPr>
              <w:t>4(67)</w:t>
            </w:r>
          </w:p>
        </w:tc>
      </w:tr>
      <w:tr w:rsidR="00005460" w:rsidRPr="00FD6575" w14:paraId="1877A62B" w14:textId="77777777" w:rsidTr="00005460">
        <w:trPr>
          <w:trHeight w:val="315"/>
        </w:trPr>
        <w:tc>
          <w:tcPr>
            <w:cnfStyle w:val="001000000000" w:firstRow="0" w:lastRow="0" w:firstColumn="1" w:lastColumn="0" w:oddVBand="0" w:evenVBand="0" w:oddHBand="0" w:evenHBand="0" w:firstRowFirstColumn="0" w:firstRowLastColumn="0" w:lastRowFirstColumn="0" w:lastRowLastColumn="0"/>
            <w:tcW w:w="1080" w:type="dxa"/>
            <w:hideMark/>
          </w:tcPr>
          <w:p w14:paraId="4F3BC2E5" w14:textId="77777777" w:rsidR="00005460" w:rsidRPr="00FD6575" w:rsidRDefault="00005460" w:rsidP="00005460">
            <w:pPr>
              <w:rPr>
                <w:rFonts w:cs="Arial"/>
                <w:szCs w:val="20"/>
                <w:lang w:eastAsia="en-GB"/>
              </w:rPr>
            </w:pPr>
            <w:r w:rsidRPr="00FD6575">
              <w:rPr>
                <w:rFonts w:cs="Arial"/>
                <w:szCs w:val="20"/>
                <w:lang w:eastAsia="en-GB"/>
              </w:rPr>
              <w:t>CM3</w:t>
            </w:r>
          </w:p>
        </w:tc>
        <w:tc>
          <w:tcPr>
            <w:tcW w:w="1036" w:type="dxa"/>
          </w:tcPr>
          <w:p w14:paraId="42B0A7BA" w14:textId="77777777"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FD6575">
              <w:rPr>
                <w:rFonts w:cs="Arial"/>
                <w:szCs w:val="20"/>
                <w:lang w:eastAsia="en-GB"/>
              </w:rPr>
              <w:t>435,565</w:t>
            </w:r>
          </w:p>
        </w:tc>
        <w:tc>
          <w:tcPr>
            <w:tcW w:w="1147" w:type="dxa"/>
          </w:tcPr>
          <w:p w14:paraId="0E1F70ED" w14:textId="77777777"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FD6575">
              <w:rPr>
                <w:rFonts w:cs="Arial"/>
                <w:szCs w:val="20"/>
                <w:lang w:eastAsia="en-GB"/>
              </w:rPr>
              <w:t>565,040</w:t>
            </w:r>
          </w:p>
        </w:tc>
        <w:tc>
          <w:tcPr>
            <w:tcW w:w="1977" w:type="dxa"/>
            <w:hideMark/>
          </w:tcPr>
          <w:p w14:paraId="673BEC38" w14:textId="77777777"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FD6575">
              <w:rPr>
                <w:rFonts w:cs="Arial"/>
                <w:szCs w:val="20"/>
                <w:lang w:eastAsia="en-GB"/>
              </w:rPr>
              <w:t>Roadside</w:t>
            </w:r>
          </w:p>
        </w:tc>
        <w:tc>
          <w:tcPr>
            <w:tcW w:w="1985" w:type="dxa"/>
            <w:hideMark/>
          </w:tcPr>
          <w:p w14:paraId="00E1FC0F" w14:textId="77777777"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FD6575">
              <w:rPr>
                <w:rFonts w:cs="Arial"/>
                <w:szCs w:val="20"/>
                <w:lang w:eastAsia="en-GB"/>
              </w:rPr>
              <w:t>99.9</w:t>
            </w:r>
          </w:p>
        </w:tc>
        <w:tc>
          <w:tcPr>
            <w:tcW w:w="1559" w:type="dxa"/>
            <w:hideMark/>
          </w:tcPr>
          <w:p w14:paraId="788F8B83" w14:textId="77777777"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FD6575">
              <w:rPr>
                <w:rFonts w:cs="Arial"/>
                <w:szCs w:val="20"/>
                <w:lang w:eastAsia="en-GB"/>
              </w:rPr>
              <w:t>99.9</w:t>
            </w:r>
          </w:p>
        </w:tc>
        <w:tc>
          <w:tcPr>
            <w:tcW w:w="1155" w:type="dxa"/>
            <w:hideMark/>
          </w:tcPr>
          <w:p w14:paraId="35E8060B" w14:textId="03AC9BE2" w:rsidR="00005460" w:rsidRPr="00005460"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rPr>
            </w:pPr>
            <w:r w:rsidRPr="00005460">
              <w:rPr>
                <w:rFonts w:cs="Arial"/>
                <w:szCs w:val="20"/>
              </w:rPr>
              <w:t>2</w:t>
            </w:r>
          </w:p>
        </w:tc>
        <w:tc>
          <w:tcPr>
            <w:tcW w:w="1155" w:type="dxa"/>
            <w:hideMark/>
          </w:tcPr>
          <w:p w14:paraId="213CB721" w14:textId="5C06AE3C" w:rsidR="00005460" w:rsidRPr="00005460"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rPr>
            </w:pPr>
            <w:r w:rsidRPr="00005460">
              <w:rPr>
                <w:rFonts w:cs="Arial"/>
                <w:szCs w:val="20"/>
              </w:rPr>
              <w:t>3</w:t>
            </w:r>
          </w:p>
        </w:tc>
        <w:tc>
          <w:tcPr>
            <w:tcW w:w="1155" w:type="dxa"/>
            <w:hideMark/>
          </w:tcPr>
          <w:p w14:paraId="314A2C61" w14:textId="35BAE976" w:rsidR="00005460" w:rsidRPr="00005460" w:rsidRDefault="00005460" w:rsidP="00005460">
            <w:pPr>
              <w:cnfStyle w:val="000000000000" w:firstRow="0" w:lastRow="0" w:firstColumn="0" w:lastColumn="0" w:oddVBand="0" w:evenVBand="0" w:oddHBand="0" w:evenHBand="0" w:firstRowFirstColumn="0" w:firstRowLastColumn="0" w:lastRowFirstColumn="0" w:lastRowLastColumn="0"/>
              <w:rPr>
                <w:rFonts w:cs="Arial"/>
                <w:szCs w:val="20"/>
              </w:rPr>
            </w:pPr>
            <w:r w:rsidRPr="00005460">
              <w:rPr>
                <w:rFonts w:cs="Arial"/>
                <w:szCs w:val="20"/>
                <w:lang w:eastAsia="en-GB"/>
              </w:rPr>
              <w:t>3 (64)</w:t>
            </w:r>
          </w:p>
        </w:tc>
        <w:tc>
          <w:tcPr>
            <w:tcW w:w="1155" w:type="dxa"/>
            <w:hideMark/>
          </w:tcPr>
          <w:p w14:paraId="05955258" w14:textId="7EE55093" w:rsidR="00005460" w:rsidRPr="00FD6575" w:rsidRDefault="00005460" w:rsidP="00005460">
            <w:pPr>
              <w:cnfStyle w:val="000000000000" w:firstRow="0" w:lastRow="0" w:firstColumn="0" w:lastColumn="0" w:oddVBand="0" w:evenVBand="0" w:oddHBand="0" w:evenHBand="0" w:firstRowFirstColumn="0" w:firstRowLastColumn="0" w:lastRowFirstColumn="0" w:lastRowLastColumn="0"/>
              <w:rPr>
                <w:rFonts w:cs="Arial"/>
                <w:b/>
                <w:bCs/>
                <w:szCs w:val="20"/>
                <w:lang w:eastAsia="en-GB"/>
              </w:rPr>
            </w:pPr>
            <w:r w:rsidRPr="00FD6575">
              <w:rPr>
                <w:rFonts w:cs="Arial"/>
                <w:szCs w:val="20"/>
                <w:lang w:eastAsia="en-GB"/>
              </w:rPr>
              <w:t>4(70)</w:t>
            </w:r>
          </w:p>
        </w:tc>
        <w:tc>
          <w:tcPr>
            <w:tcW w:w="1156" w:type="dxa"/>
          </w:tcPr>
          <w:p w14:paraId="4C84A9EC" w14:textId="24E2FDFE" w:rsidR="00005460" w:rsidRPr="00FD6575" w:rsidRDefault="007C33DF" w:rsidP="00005460">
            <w:pPr>
              <w:cnfStyle w:val="000000000000" w:firstRow="0" w:lastRow="0" w:firstColumn="0" w:lastColumn="0" w:oddVBand="0" w:evenVBand="0" w:oddHBand="0" w:evenHBand="0" w:firstRowFirstColumn="0" w:firstRowLastColumn="0" w:lastRowFirstColumn="0" w:lastRowLastColumn="0"/>
              <w:rPr>
                <w:rFonts w:cs="Arial"/>
                <w:szCs w:val="20"/>
                <w:lang w:eastAsia="en-GB"/>
              </w:rPr>
            </w:pPr>
            <w:r>
              <w:rPr>
                <w:rFonts w:cs="Arial"/>
                <w:szCs w:val="20"/>
                <w:lang w:eastAsia="en-GB"/>
              </w:rPr>
              <w:t>0</w:t>
            </w:r>
          </w:p>
        </w:tc>
      </w:tr>
    </w:tbl>
    <w:p w14:paraId="1CAA54F5" w14:textId="77777777" w:rsidR="007C33DF" w:rsidRDefault="007C33DF" w:rsidP="002A068B">
      <w:pPr>
        <w:spacing w:line="240" w:lineRule="auto"/>
        <w:rPr>
          <w:b/>
        </w:rPr>
      </w:pPr>
    </w:p>
    <w:p w14:paraId="6C886992" w14:textId="6A6415EF" w:rsidR="008142E3" w:rsidRPr="00786EB7" w:rsidRDefault="008142E3" w:rsidP="002A068B">
      <w:pPr>
        <w:spacing w:line="240" w:lineRule="auto"/>
        <w:rPr>
          <w:b/>
        </w:rPr>
      </w:pPr>
      <w:r w:rsidRPr="00786EB7">
        <w:rPr>
          <w:b/>
        </w:rPr>
        <w:t>Notes:</w:t>
      </w:r>
    </w:p>
    <w:p w14:paraId="0C366DEC" w14:textId="5EE3F8FB" w:rsidR="00D83B22" w:rsidRPr="00E1160B" w:rsidRDefault="00D83B22" w:rsidP="002A068B">
      <w:pPr>
        <w:spacing w:line="240" w:lineRule="auto"/>
        <w:rPr>
          <w:szCs w:val="24"/>
        </w:rPr>
      </w:pPr>
      <w:r>
        <w:rPr>
          <w:szCs w:val="24"/>
        </w:rPr>
        <w:t>Results are presented as the number of 24-hour periods where daily mean concentrations greater than 5</w:t>
      </w:r>
      <w:r w:rsidRPr="00786EB7">
        <w:rPr>
          <w:szCs w:val="24"/>
        </w:rPr>
        <w:t>0µg/m</w:t>
      </w:r>
      <w:r w:rsidRPr="00786EB7">
        <w:rPr>
          <w:szCs w:val="24"/>
          <w:vertAlign w:val="superscript"/>
        </w:rPr>
        <w:t>3</w:t>
      </w:r>
      <w:r>
        <w:rPr>
          <w:szCs w:val="24"/>
        </w:rPr>
        <w:t xml:space="preserve"> have been recorded.</w:t>
      </w:r>
    </w:p>
    <w:p w14:paraId="4846FAA1" w14:textId="651E3679" w:rsidR="008142E3" w:rsidRDefault="008142E3" w:rsidP="002A068B">
      <w:pPr>
        <w:spacing w:line="240" w:lineRule="auto"/>
      </w:pPr>
      <w:r w:rsidRPr="00786EB7">
        <w:t>Exceedances of the PM</w:t>
      </w:r>
      <w:r w:rsidRPr="00786EB7">
        <w:rPr>
          <w:vertAlign w:val="subscript"/>
        </w:rPr>
        <w:t>10</w:t>
      </w:r>
      <w:r w:rsidRPr="00786EB7">
        <w:t xml:space="preserve"> 24-hour mean objective (50µg/m</w:t>
      </w:r>
      <w:r w:rsidRPr="00786EB7">
        <w:rPr>
          <w:vertAlign w:val="superscript"/>
        </w:rPr>
        <w:t>3</w:t>
      </w:r>
      <w:r w:rsidRPr="00786EB7">
        <w:t xml:space="preserve"> not to be exceeded more than 35 times/year) are shown in </w:t>
      </w:r>
      <w:r w:rsidRPr="00786EB7">
        <w:rPr>
          <w:b/>
        </w:rPr>
        <w:t>bold</w:t>
      </w:r>
      <w:r w:rsidRPr="00786EB7">
        <w:t>.</w:t>
      </w:r>
    </w:p>
    <w:p w14:paraId="18076E8A" w14:textId="70286E16" w:rsidR="00786EB7" w:rsidRPr="00786EB7" w:rsidRDefault="00786EB7" w:rsidP="002A068B">
      <w:pPr>
        <w:spacing w:line="240" w:lineRule="auto"/>
      </w:pPr>
      <w:r w:rsidRPr="00786EB7">
        <w:t>If the period of valid data is less than 85%, the 90.4th percentile of 24-hour means is provided in brackets.</w:t>
      </w:r>
    </w:p>
    <w:p w14:paraId="6609BE3D" w14:textId="77777777" w:rsidR="008142E3" w:rsidRPr="00786EB7" w:rsidRDefault="008142E3" w:rsidP="002A068B">
      <w:pPr>
        <w:spacing w:line="240" w:lineRule="auto"/>
      </w:pPr>
      <w:r w:rsidRPr="00786EB7">
        <w:t>(1) Data capture for the monitoring period, in cases where monitoring was only carried out for part of the year.</w:t>
      </w:r>
    </w:p>
    <w:p w14:paraId="1ED41C81" w14:textId="77777777" w:rsidR="008142E3" w:rsidRDefault="008142E3" w:rsidP="002A068B">
      <w:pPr>
        <w:spacing w:line="240" w:lineRule="auto"/>
      </w:pPr>
      <w:r w:rsidRPr="00786EB7">
        <w:t>(2) Data capture for the full calendar year (e.g. if monitoring was carried out for 6 months, the maximum data capture for the full calendar year is 50%).</w:t>
      </w:r>
    </w:p>
    <w:p w14:paraId="15EBC1E8" w14:textId="77777777" w:rsidR="008142E3" w:rsidRDefault="008142E3" w:rsidP="00400B0F">
      <w:pPr>
        <w:spacing w:before="0" w:after="0"/>
      </w:pPr>
      <w:r>
        <w:br w:type="page"/>
      </w:r>
    </w:p>
    <w:p w14:paraId="3CB23F86" w14:textId="55B22877" w:rsidR="00130A54" w:rsidRDefault="008142E3" w:rsidP="00400B0F">
      <w:pPr>
        <w:pStyle w:val="Caption"/>
        <w:rPr>
          <w:rFonts w:cs="Arial"/>
          <w:szCs w:val="24"/>
        </w:rPr>
      </w:pPr>
      <w:bookmarkStart w:id="96" w:name="_Ref55286474"/>
      <w:bookmarkStart w:id="97" w:name="_Ref63330723"/>
      <w:bookmarkStart w:id="98" w:name="_Toc74642729"/>
      <w:r>
        <w:t>Table A.</w:t>
      </w:r>
      <w:r w:rsidR="00742944">
        <w:rPr>
          <w:color w:val="2B579A"/>
          <w:shd w:val="clear" w:color="auto" w:fill="E6E6E6"/>
        </w:rPr>
        <w:fldChar w:fldCharType="begin"/>
      </w:r>
      <w:r w:rsidR="00742944">
        <w:rPr>
          <w:noProof/>
        </w:rPr>
        <w:instrText xml:space="preserve"> SEQ Table_A \* ARABIC </w:instrText>
      </w:r>
      <w:r w:rsidR="00742944">
        <w:rPr>
          <w:color w:val="2B579A"/>
          <w:shd w:val="clear" w:color="auto" w:fill="E6E6E6"/>
        </w:rPr>
        <w:fldChar w:fldCharType="separate"/>
      </w:r>
      <w:r w:rsidR="0062374A">
        <w:rPr>
          <w:noProof/>
        </w:rPr>
        <w:t>8</w:t>
      </w:r>
      <w:r w:rsidR="00742944">
        <w:rPr>
          <w:color w:val="2B579A"/>
          <w:shd w:val="clear" w:color="auto" w:fill="E6E6E6"/>
        </w:rPr>
        <w:fldChar w:fldCharType="end"/>
      </w:r>
      <w:bookmarkEnd w:id="96"/>
      <w:bookmarkEnd w:id="97"/>
      <w:r>
        <w:t xml:space="preserve"> – </w:t>
      </w:r>
      <w:r w:rsidR="00130A54">
        <w:t xml:space="preserve">Annual Mean </w:t>
      </w:r>
      <w:r w:rsidRPr="008142E3">
        <w:t>PM</w:t>
      </w:r>
      <w:r w:rsidRPr="008142E3">
        <w:rPr>
          <w:vertAlign w:val="subscript"/>
        </w:rPr>
        <w:t xml:space="preserve">2.5 </w:t>
      </w:r>
      <w:r w:rsidRPr="008142E3">
        <w:t>Monitoring Results</w:t>
      </w:r>
      <w:r w:rsidR="00130A54">
        <w:t xml:space="preserve"> </w:t>
      </w:r>
      <w:r w:rsidR="00130A54" w:rsidRPr="00786EB7">
        <w:rPr>
          <w:szCs w:val="24"/>
        </w:rPr>
        <w:t>(</w:t>
      </w:r>
      <w:r w:rsidR="00130A54" w:rsidRPr="00786EB7">
        <w:rPr>
          <w:rFonts w:cs="Arial"/>
          <w:szCs w:val="24"/>
        </w:rPr>
        <w:t>µg/m</w:t>
      </w:r>
      <w:r w:rsidR="00130A54" w:rsidRPr="00786EB7">
        <w:rPr>
          <w:rFonts w:cs="Arial"/>
          <w:szCs w:val="24"/>
          <w:vertAlign w:val="superscript"/>
        </w:rPr>
        <w:t>3</w:t>
      </w:r>
      <w:r w:rsidR="00130A54" w:rsidRPr="00786EB7">
        <w:rPr>
          <w:rFonts w:cs="Arial"/>
          <w:szCs w:val="24"/>
        </w:rPr>
        <w:t>)</w:t>
      </w:r>
      <w:bookmarkEnd w:id="98"/>
    </w:p>
    <w:tbl>
      <w:tblPr>
        <w:tblStyle w:val="TableStyle4"/>
        <w:tblW w:w="0" w:type="auto"/>
        <w:tblLayout w:type="fixed"/>
        <w:tblLook w:val="04A0" w:firstRow="1" w:lastRow="0" w:firstColumn="1" w:lastColumn="0" w:noHBand="0" w:noVBand="1"/>
      </w:tblPr>
      <w:tblGrid>
        <w:gridCol w:w="1080"/>
        <w:gridCol w:w="1036"/>
        <w:gridCol w:w="1147"/>
        <w:gridCol w:w="1977"/>
        <w:gridCol w:w="1985"/>
        <w:gridCol w:w="1559"/>
        <w:gridCol w:w="1155"/>
        <w:gridCol w:w="1155"/>
        <w:gridCol w:w="1155"/>
        <w:gridCol w:w="1155"/>
        <w:gridCol w:w="1156"/>
      </w:tblGrid>
      <w:tr w:rsidR="003E13DC" w:rsidRPr="00116356" w14:paraId="48115742" w14:textId="77777777" w:rsidTr="00A8540C">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1080" w:type="dxa"/>
          </w:tcPr>
          <w:p w14:paraId="1D3BBC64" w14:textId="77777777" w:rsidR="003E13DC" w:rsidRPr="00116356" w:rsidRDefault="003E13DC" w:rsidP="003A10E7">
            <w:pPr>
              <w:spacing w:line="240" w:lineRule="auto"/>
              <w:rPr>
                <w:rFonts w:ascii="Arial" w:hAnsi="Arial" w:cs="Arial"/>
                <w:sz w:val="20"/>
                <w:szCs w:val="20"/>
              </w:rPr>
            </w:pPr>
            <w:r w:rsidRPr="00116356">
              <w:rPr>
                <w:rFonts w:ascii="Arial" w:hAnsi="Arial" w:cs="Arial"/>
                <w:sz w:val="20"/>
                <w:szCs w:val="20"/>
              </w:rPr>
              <w:t>Site ID</w:t>
            </w:r>
          </w:p>
        </w:tc>
        <w:tc>
          <w:tcPr>
            <w:tcW w:w="1036" w:type="dxa"/>
          </w:tcPr>
          <w:p w14:paraId="17B71176" w14:textId="77777777" w:rsidR="003E13DC" w:rsidRPr="00116356" w:rsidRDefault="003E13D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X OS Grid Ref (Easting)</w:t>
            </w:r>
          </w:p>
        </w:tc>
        <w:tc>
          <w:tcPr>
            <w:tcW w:w="1147" w:type="dxa"/>
          </w:tcPr>
          <w:p w14:paraId="65259A21" w14:textId="77777777" w:rsidR="003E13DC" w:rsidRPr="00116356" w:rsidRDefault="003E13D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Y OS Grid Ref (Northing)</w:t>
            </w:r>
          </w:p>
        </w:tc>
        <w:tc>
          <w:tcPr>
            <w:tcW w:w="1977" w:type="dxa"/>
          </w:tcPr>
          <w:p w14:paraId="6E96E204" w14:textId="77777777" w:rsidR="003E13DC" w:rsidRPr="00116356" w:rsidRDefault="003E13D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Site Type</w:t>
            </w:r>
          </w:p>
        </w:tc>
        <w:tc>
          <w:tcPr>
            <w:tcW w:w="1985" w:type="dxa"/>
          </w:tcPr>
          <w:p w14:paraId="2D69A139" w14:textId="77777777" w:rsidR="003E13DC" w:rsidRPr="00116356" w:rsidRDefault="003E13D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 xml:space="preserve">Valid Data Capture for Monitoring Period (%) </w:t>
            </w:r>
            <w:r w:rsidRPr="00D024C9">
              <w:rPr>
                <w:rFonts w:ascii="Arial" w:hAnsi="Arial" w:cs="Arial"/>
                <w:sz w:val="20"/>
                <w:szCs w:val="20"/>
                <w:vertAlign w:val="superscript"/>
              </w:rPr>
              <w:t>(1)</w:t>
            </w:r>
          </w:p>
        </w:tc>
        <w:tc>
          <w:tcPr>
            <w:tcW w:w="1559" w:type="dxa"/>
          </w:tcPr>
          <w:p w14:paraId="485AE598" w14:textId="0E718246" w:rsidR="003E13DC" w:rsidRPr="00116356" w:rsidRDefault="003E13D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Valid Data Capture 2</w:t>
            </w:r>
            <w:r w:rsidR="00794D68">
              <w:rPr>
                <w:rFonts w:ascii="Arial" w:hAnsi="Arial" w:cs="Arial"/>
                <w:sz w:val="20"/>
                <w:szCs w:val="20"/>
              </w:rPr>
              <w:t xml:space="preserve">020 </w:t>
            </w:r>
            <w:r w:rsidRPr="00116356">
              <w:rPr>
                <w:rFonts w:ascii="Arial" w:hAnsi="Arial" w:cs="Arial"/>
                <w:sz w:val="20"/>
                <w:szCs w:val="20"/>
              </w:rPr>
              <w:t xml:space="preserve">(%) </w:t>
            </w:r>
            <w:r w:rsidRPr="00D024C9">
              <w:rPr>
                <w:rFonts w:ascii="Arial" w:hAnsi="Arial" w:cs="Arial"/>
                <w:sz w:val="20"/>
                <w:szCs w:val="20"/>
                <w:vertAlign w:val="superscript"/>
              </w:rPr>
              <w:t>(2)</w:t>
            </w:r>
          </w:p>
        </w:tc>
        <w:tc>
          <w:tcPr>
            <w:tcW w:w="1155" w:type="dxa"/>
          </w:tcPr>
          <w:p w14:paraId="6226C28C" w14:textId="2CD22983" w:rsidR="003E13DC" w:rsidRPr="00116356" w:rsidRDefault="003E13D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6</w:t>
            </w:r>
          </w:p>
        </w:tc>
        <w:tc>
          <w:tcPr>
            <w:tcW w:w="1155" w:type="dxa"/>
          </w:tcPr>
          <w:p w14:paraId="040255E5" w14:textId="3417DFD0" w:rsidR="003E13DC" w:rsidRPr="00116356" w:rsidRDefault="003E13D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7</w:t>
            </w:r>
          </w:p>
        </w:tc>
        <w:tc>
          <w:tcPr>
            <w:tcW w:w="1155" w:type="dxa"/>
          </w:tcPr>
          <w:p w14:paraId="68A5EE48" w14:textId="68507F13" w:rsidR="003E13DC" w:rsidRPr="00116356" w:rsidRDefault="003E13D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8</w:t>
            </w:r>
          </w:p>
        </w:tc>
        <w:tc>
          <w:tcPr>
            <w:tcW w:w="1155" w:type="dxa"/>
          </w:tcPr>
          <w:p w14:paraId="40B333EC" w14:textId="5BAF9B24" w:rsidR="003E13DC" w:rsidRPr="00116356" w:rsidRDefault="003E13DC"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9</w:t>
            </w:r>
          </w:p>
        </w:tc>
        <w:tc>
          <w:tcPr>
            <w:tcW w:w="1156" w:type="dxa"/>
          </w:tcPr>
          <w:p w14:paraId="35DBB090" w14:textId="6EB8B201" w:rsidR="003E13DC" w:rsidRPr="00116356" w:rsidRDefault="003E13DC"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116356">
              <w:rPr>
                <w:rFonts w:cs="Arial"/>
                <w:b w:val="0"/>
                <w:sz w:val="20"/>
                <w:szCs w:val="20"/>
              </w:rPr>
              <w:t>20</w:t>
            </w:r>
            <w:r>
              <w:rPr>
                <w:rFonts w:cs="Arial"/>
                <w:b w:val="0"/>
                <w:sz w:val="20"/>
                <w:szCs w:val="20"/>
              </w:rPr>
              <w:t>20</w:t>
            </w:r>
          </w:p>
        </w:tc>
      </w:tr>
      <w:tr w:rsidR="003D4866" w:rsidRPr="00116356" w14:paraId="79521EFD" w14:textId="77777777" w:rsidTr="00D364BB">
        <w:tc>
          <w:tcPr>
            <w:cnfStyle w:val="001000000000" w:firstRow="0" w:lastRow="0" w:firstColumn="1" w:lastColumn="0" w:oddVBand="0" w:evenVBand="0" w:oddHBand="0" w:evenHBand="0" w:firstRowFirstColumn="0" w:firstRowLastColumn="0" w:lastRowFirstColumn="0" w:lastRowLastColumn="0"/>
            <w:tcW w:w="1080" w:type="dxa"/>
          </w:tcPr>
          <w:p w14:paraId="36304D48" w14:textId="434E614F" w:rsidR="003D4866" w:rsidRPr="00116356" w:rsidRDefault="003D4866" w:rsidP="003D4866">
            <w:pPr>
              <w:spacing w:before="0" w:after="0" w:line="240" w:lineRule="auto"/>
              <w:rPr>
                <w:rFonts w:cs="Arial"/>
                <w:sz w:val="20"/>
                <w:szCs w:val="20"/>
              </w:rPr>
            </w:pPr>
            <w:r w:rsidRPr="00377B66">
              <w:rPr>
                <w:rFonts w:cs="Arial"/>
                <w:szCs w:val="20"/>
                <w:lang w:eastAsia="en-GB"/>
              </w:rPr>
              <w:t>CM2</w:t>
            </w:r>
          </w:p>
        </w:tc>
        <w:tc>
          <w:tcPr>
            <w:tcW w:w="1036" w:type="dxa"/>
          </w:tcPr>
          <w:p w14:paraId="76119068" w14:textId="30F7E0F4" w:rsidR="003D4866" w:rsidRPr="0011635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377B66">
              <w:rPr>
                <w:rFonts w:cs="Arial"/>
                <w:szCs w:val="20"/>
                <w:lang w:eastAsia="en-GB"/>
              </w:rPr>
              <w:t>434,068</w:t>
            </w:r>
          </w:p>
        </w:tc>
        <w:tc>
          <w:tcPr>
            <w:tcW w:w="1147" w:type="dxa"/>
          </w:tcPr>
          <w:p w14:paraId="1ADDCA0A" w14:textId="307DAE88" w:rsidR="003D4866" w:rsidRPr="0011635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377B66">
              <w:rPr>
                <w:rFonts w:cs="Arial"/>
                <w:szCs w:val="20"/>
                <w:lang w:eastAsia="en-GB"/>
              </w:rPr>
              <w:t>563,695</w:t>
            </w:r>
          </w:p>
        </w:tc>
        <w:tc>
          <w:tcPr>
            <w:tcW w:w="1977" w:type="dxa"/>
          </w:tcPr>
          <w:p w14:paraId="499C969B" w14:textId="609D7298" w:rsidR="003D4866" w:rsidRPr="0011635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377B66">
              <w:rPr>
                <w:rFonts w:cs="Arial"/>
                <w:szCs w:val="20"/>
                <w:lang w:eastAsia="en-GB"/>
              </w:rPr>
              <w:t>Roadside</w:t>
            </w:r>
          </w:p>
        </w:tc>
        <w:tc>
          <w:tcPr>
            <w:tcW w:w="1985" w:type="dxa"/>
          </w:tcPr>
          <w:p w14:paraId="174AA243" w14:textId="13420D3C" w:rsidR="003D4866" w:rsidRPr="0011635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377B66">
              <w:rPr>
                <w:rFonts w:cs="Arial"/>
                <w:szCs w:val="20"/>
                <w:lang w:eastAsia="en-GB"/>
              </w:rPr>
              <w:t>99.6</w:t>
            </w:r>
          </w:p>
        </w:tc>
        <w:tc>
          <w:tcPr>
            <w:tcW w:w="1559" w:type="dxa"/>
          </w:tcPr>
          <w:p w14:paraId="253F91AC" w14:textId="68026C5E" w:rsidR="003D4866" w:rsidRPr="0011635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377B66">
              <w:rPr>
                <w:rFonts w:cs="Arial"/>
                <w:szCs w:val="20"/>
                <w:lang w:eastAsia="en-GB"/>
              </w:rPr>
              <w:t>99.6</w:t>
            </w:r>
          </w:p>
        </w:tc>
        <w:tc>
          <w:tcPr>
            <w:tcW w:w="1155" w:type="dxa"/>
          </w:tcPr>
          <w:p w14:paraId="12C44935" w14:textId="192E3981" w:rsidR="003D4866" w:rsidRPr="0011635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377B66">
              <w:rPr>
                <w:rFonts w:cs="Arial"/>
                <w:szCs w:val="20"/>
                <w:lang w:eastAsia="en-GB"/>
              </w:rPr>
              <w:t>10.01</w:t>
            </w:r>
          </w:p>
        </w:tc>
        <w:tc>
          <w:tcPr>
            <w:tcW w:w="1155" w:type="dxa"/>
          </w:tcPr>
          <w:p w14:paraId="0F3921F1" w14:textId="23B9BF5D" w:rsidR="003D4866" w:rsidRPr="0011635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377B66">
              <w:rPr>
                <w:rFonts w:cs="Arial"/>
                <w:szCs w:val="20"/>
                <w:lang w:eastAsia="en-GB"/>
              </w:rPr>
              <w:t>10.5</w:t>
            </w:r>
          </w:p>
        </w:tc>
        <w:tc>
          <w:tcPr>
            <w:tcW w:w="1155" w:type="dxa"/>
          </w:tcPr>
          <w:p w14:paraId="1DD7CA0F" w14:textId="1D05CE02" w:rsidR="003D4866" w:rsidRPr="0011635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377B66">
              <w:rPr>
                <w:rFonts w:cs="Arial"/>
                <w:szCs w:val="20"/>
                <w:lang w:eastAsia="en-GB"/>
              </w:rPr>
              <w:t>12.6</w:t>
            </w:r>
          </w:p>
        </w:tc>
        <w:tc>
          <w:tcPr>
            <w:tcW w:w="1155" w:type="dxa"/>
          </w:tcPr>
          <w:p w14:paraId="7A6F5B11" w14:textId="224710FF" w:rsidR="003D4866" w:rsidRPr="0011635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377B66">
              <w:rPr>
                <w:rFonts w:cs="Arial"/>
                <w:szCs w:val="20"/>
                <w:lang w:eastAsia="en-GB"/>
              </w:rPr>
              <w:t>13.3</w:t>
            </w:r>
          </w:p>
        </w:tc>
        <w:tc>
          <w:tcPr>
            <w:tcW w:w="1156" w:type="dxa"/>
          </w:tcPr>
          <w:p w14:paraId="1D058F2B" w14:textId="43D73AD8" w:rsidR="003D4866" w:rsidRPr="00D94F3D" w:rsidRDefault="00206BB3"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4"/>
              </w:rPr>
            </w:pPr>
            <w:r w:rsidRPr="00D94F3D">
              <w:rPr>
                <w:rFonts w:cs="Arial"/>
                <w:szCs w:val="24"/>
              </w:rPr>
              <w:t>12.6</w:t>
            </w:r>
          </w:p>
        </w:tc>
      </w:tr>
      <w:tr w:rsidR="003D4866" w:rsidRPr="00116356" w14:paraId="2B1DEF7A" w14:textId="77777777" w:rsidTr="00D364BB">
        <w:tc>
          <w:tcPr>
            <w:cnfStyle w:val="001000000000" w:firstRow="0" w:lastRow="0" w:firstColumn="1" w:lastColumn="0" w:oddVBand="0" w:evenVBand="0" w:oddHBand="0" w:evenHBand="0" w:firstRowFirstColumn="0" w:firstRowLastColumn="0" w:lastRowFirstColumn="0" w:lastRowLastColumn="0"/>
            <w:tcW w:w="1080" w:type="dxa"/>
          </w:tcPr>
          <w:p w14:paraId="6C350F4A" w14:textId="3678EB1F" w:rsidR="003D4866" w:rsidRPr="00377B66" w:rsidRDefault="003D4866" w:rsidP="003D4866">
            <w:pPr>
              <w:spacing w:before="0" w:after="0" w:line="240" w:lineRule="auto"/>
              <w:rPr>
                <w:rFonts w:cs="Arial"/>
                <w:szCs w:val="20"/>
                <w:lang w:eastAsia="en-GB"/>
              </w:rPr>
            </w:pPr>
            <w:r w:rsidRPr="00377B66">
              <w:rPr>
                <w:rFonts w:cs="Arial"/>
                <w:szCs w:val="20"/>
                <w:lang w:eastAsia="en-GB"/>
              </w:rPr>
              <w:t>CM3</w:t>
            </w:r>
          </w:p>
        </w:tc>
        <w:tc>
          <w:tcPr>
            <w:tcW w:w="1036" w:type="dxa"/>
          </w:tcPr>
          <w:p w14:paraId="4A987F98" w14:textId="57E0C8E5" w:rsidR="003D4866" w:rsidRPr="00377B6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77B66">
              <w:rPr>
                <w:rFonts w:cs="Arial"/>
                <w:szCs w:val="20"/>
                <w:lang w:eastAsia="en-GB"/>
              </w:rPr>
              <w:t>435,565</w:t>
            </w:r>
          </w:p>
        </w:tc>
        <w:tc>
          <w:tcPr>
            <w:tcW w:w="1147" w:type="dxa"/>
          </w:tcPr>
          <w:p w14:paraId="5763D1D8" w14:textId="6587E1B7" w:rsidR="003D4866" w:rsidRPr="00377B6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77B66">
              <w:rPr>
                <w:rFonts w:cs="Arial"/>
                <w:szCs w:val="20"/>
                <w:lang w:eastAsia="en-GB"/>
              </w:rPr>
              <w:t>565,040</w:t>
            </w:r>
          </w:p>
        </w:tc>
        <w:tc>
          <w:tcPr>
            <w:tcW w:w="1977" w:type="dxa"/>
          </w:tcPr>
          <w:p w14:paraId="2B762D54" w14:textId="28EB123B" w:rsidR="003D4866" w:rsidRPr="00377B6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77B66">
              <w:rPr>
                <w:rFonts w:cs="Arial"/>
                <w:szCs w:val="20"/>
                <w:lang w:eastAsia="en-GB"/>
              </w:rPr>
              <w:t>Roadside</w:t>
            </w:r>
          </w:p>
        </w:tc>
        <w:tc>
          <w:tcPr>
            <w:tcW w:w="1985" w:type="dxa"/>
          </w:tcPr>
          <w:p w14:paraId="6FB5AB88" w14:textId="5D2738B9" w:rsidR="003D4866" w:rsidRPr="00377B6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77B66">
              <w:rPr>
                <w:rFonts w:cs="Arial"/>
                <w:szCs w:val="20"/>
                <w:lang w:eastAsia="en-GB"/>
              </w:rPr>
              <w:t>99.9</w:t>
            </w:r>
          </w:p>
        </w:tc>
        <w:tc>
          <w:tcPr>
            <w:tcW w:w="1559" w:type="dxa"/>
          </w:tcPr>
          <w:p w14:paraId="27826D34" w14:textId="44B80280" w:rsidR="003D4866" w:rsidRPr="00377B6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77B66">
              <w:rPr>
                <w:rFonts w:cs="Arial"/>
                <w:szCs w:val="20"/>
                <w:lang w:eastAsia="en-GB"/>
              </w:rPr>
              <w:t>99.9</w:t>
            </w:r>
          </w:p>
        </w:tc>
        <w:tc>
          <w:tcPr>
            <w:tcW w:w="1155" w:type="dxa"/>
          </w:tcPr>
          <w:p w14:paraId="51A433D7" w14:textId="5C21509F" w:rsidR="003D4866" w:rsidRPr="00377B6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77B66">
              <w:rPr>
                <w:rFonts w:cs="Arial"/>
                <w:szCs w:val="20"/>
                <w:lang w:eastAsia="en-GB"/>
              </w:rPr>
              <w:t>12.11</w:t>
            </w:r>
          </w:p>
        </w:tc>
        <w:tc>
          <w:tcPr>
            <w:tcW w:w="1155" w:type="dxa"/>
          </w:tcPr>
          <w:p w14:paraId="236591AE" w14:textId="0AD4C6A9" w:rsidR="003D4866" w:rsidRPr="00377B6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77B66">
              <w:rPr>
                <w:rFonts w:cs="Arial"/>
                <w:szCs w:val="20"/>
                <w:lang w:eastAsia="en-GB"/>
              </w:rPr>
              <w:t>12.6</w:t>
            </w:r>
          </w:p>
        </w:tc>
        <w:tc>
          <w:tcPr>
            <w:tcW w:w="1155" w:type="dxa"/>
          </w:tcPr>
          <w:p w14:paraId="0A927A22" w14:textId="6CF20E43" w:rsidR="003D4866" w:rsidRPr="00377B6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77B66">
              <w:rPr>
                <w:rFonts w:cs="Arial"/>
                <w:szCs w:val="20"/>
                <w:lang w:eastAsia="en-GB"/>
              </w:rPr>
              <w:t>13.3</w:t>
            </w:r>
          </w:p>
        </w:tc>
        <w:tc>
          <w:tcPr>
            <w:tcW w:w="1155" w:type="dxa"/>
          </w:tcPr>
          <w:p w14:paraId="30642D7D" w14:textId="0A2956AB" w:rsidR="003D4866" w:rsidRPr="00377B66" w:rsidRDefault="003D4866"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sidRPr="00377B66">
              <w:rPr>
                <w:rFonts w:cs="Arial"/>
                <w:szCs w:val="20"/>
                <w:lang w:eastAsia="en-GB"/>
              </w:rPr>
              <w:t>13.3</w:t>
            </w:r>
          </w:p>
        </w:tc>
        <w:tc>
          <w:tcPr>
            <w:tcW w:w="1156" w:type="dxa"/>
          </w:tcPr>
          <w:p w14:paraId="0E31E4A9" w14:textId="36FAC90F" w:rsidR="003D4866" w:rsidRPr="00377B66" w:rsidRDefault="00622105" w:rsidP="003D486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Cs w:val="20"/>
                <w:lang w:eastAsia="en-GB"/>
              </w:rPr>
            </w:pPr>
            <w:r>
              <w:rPr>
                <w:rFonts w:cs="Arial"/>
                <w:szCs w:val="20"/>
                <w:lang w:eastAsia="en-GB"/>
              </w:rPr>
              <w:t>9.8</w:t>
            </w:r>
          </w:p>
        </w:tc>
      </w:tr>
    </w:tbl>
    <w:p w14:paraId="55E63E49" w14:textId="62604834" w:rsidR="008142E3" w:rsidRPr="00130A54" w:rsidRDefault="00B6413C" w:rsidP="002A068B">
      <w:pPr>
        <w:spacing w:line="240" w:lineRule="auto"/>
        <w:rPr>
          <w:szCs w:val="20"/>
        </w:rPr>
      </w:pPr>
      <w:sdt>
        <w:sdtPr>
          <w:rPr>
            <w:color w:val="2B579A"/>
            <w:szCs w:val="20"/>
            <w:shd w:val="clear" w:color="auto" w:fill="E6E6E6"/>
          </w:rPr>
          <w:id w:val="486591128"/>
          <w14:checkbox>
            <w14:checked w14:val="1"/>
            <w14:checkedState w14:val="2612" w14:font="MS Gothic"/>
            <w14:uncheckedState w14:val="2610" w14:font="MS Gothic"/>
          </w14:checkbox>
        </w:sdtPr>
        <w:sdtEndPr/>
        <w:sdtContent>
          <w:r w:rsidR="003D4866">
            <w:rPr>
              <w:rFonts w:ascii="MS Gothic" w:eastAsia="MS Gothic" w:hAnsi="MS Gothic" w:hint="eastAsia"/>
              <w:color w:val="2B579A"/>
              <w:szCs w:val="20"/>
              <w:shd w:val="clear" w:color="auto" w:fill="E6E6E6"/>
            </w:rPr>
            <w:t>☒</w:t>
          </w:r>
        </w:sdtContent>
      </w:sdt>
      <w:r w:rsidR="008142E3" w:rsidRPr="00130A54">
        <w:rPr>
          <w:szCs w:val="20"/>
        </w:rPr>
        <w:t xml:space="preserve"> </w:t>
      </w:r>
      <w:r w:rsidR="003E13DC" w:rsidRPr="00090C17">
        <w:rPr>
          <w:b/>
          <w:szCs w:val="20"/>
        </w:rPr>
        <w:t>Annualisation has been conducted where data capture is &lt;75%</w:t>
      </w:r>
      <w:r w:rsidR="003E13DC">
        <w:rPr>
          <w:b/>
          <w:szCs w:val="20"/>
        </w:rPr>
        <w:t xml:space="preserve"> and &gt;33% in line with LAQM.TG16</w:t>
      </w:r>
      <w:r w:rsidR="003D4866">
        <w:rPr>
          <w:rFonts w:cs="Arial"/>
          <w:b/>
          <w:iCs/>
          <w:color w:val="FF0000"/>
          <w:szCs w:val="20"/>
        </w:rPr>
        <w:t>.</w:t>
      </w:r>
    </w:p>
    <w:p w14:paraId="7CF05766" w14:textId="59563C8C" w:rsidR="008142E3" w:rsidRPr="00554BEE" w:rsidRDefault="008142E3" w:rsidP="002A068B">
      <w:pPr>
        <w:spacing w:line="240" w:lineRule="auto"/>
        <w:rPr>
          <w:b/>
          <w:bCs/>
        </w:rPr>
      </w:pPr>
      <w:r w:rsidRPr="00554BEE">
        <w:rPr>
          <w:b/>
          <w:bCs/>
        </w:rPr>
        <w:t>Notes:</w:t>
      </w:r>
    </w:p>
    <w:p w14:paraId="0F5ADFA9" w14:textId="77777777" w:rsidR="00D83B22" w:rsidRPr="00090C17" w:rsidRDefault="00D83B22" w:rsidP="002A068B">
      <w:pPr>
        <w:spacing w:line="240" w:lineRule="auto"/>
      </w:pPr>
      <w:r>
        <w:t xml:space="preserve">The annual mean concentrations are presented as </w:t>
      </w:r>
      <w:r>
        <w:rPr>
          <w:rFonts w:cs="Arial"/>
        </w:rPr>
        <w:t>µ</w:t>
      </w:r>
      <w:r>
        <w:t>g/m</w:t>
      </w:r>
      <w:r>
        <w:rPr>
          <w:vertAlign w:val="superscript"/>
        </w:rPr>
        <w:t>3</w:t>
      </w:r>
      <w:r w:rsidRPr="00090C17">
        <w:t>.</w:t>
      </w:r>
    </w:p>
    <w:p w14:paraId="21B66F02" w14:textId="6D384FED" w:rsidR="00D83B22" w:rsidRDefault="00D83B22" w:rsidP="002A068B">
      <w:pPr>
        <w:spacing w:line="240" w:lineRule="auto"/>
      </w:pPr>
      <w:r w:rsidRPr="00564B48">
        <w:rPr>
          <w:bCs/>
        </w:rPr>
        <w:t xml:space="preserve">All means have been “annualised” as per LAQM.TG16 if valid data capture for the full calendar year is less than 75%. See </w:t>
      </w:r>
      <w:hyperlink w:anchor="_Appendix_C:_Supporting" w:history="1">
        <w:r w:rsidRPr="00564B48">
          <w:t>Appendix C</w:t>
        </w:r>
      </w:hyperlink>
      <w:r w:rsidRPr="00564B48">
        <w:rPr>
          <w:bCs/>
        </w:rPr>
        <w:t xml:space="preserve"> for details.</w:t>
      </w:r>
    </w:p>
    <w:p w14:paraId="2B55DEF0" w14:textId="1529C438" w:rsidR="008142E3" w:rsidRPr="00130A54" w:rsidRDefault="008142E3" w:rsidP="002A068B">
      <w:pPr>
        <w:spacing w:line="240" w:lineRule="auto"/>
      </w:pPr>
      <w:r w:rsidRPr="00130A54">
        <w:t>(1) Data capture for the monitoring period, in cases where monitoring was only carried out for part of the year.</w:t>
      </w:r>
    </w:p>
    <w:p w14:paraId="185672D5" w14:textId="77777777" w:rsidR="008142E3" w:rsidRDefault="008142E3" w:rsidP="002A068B">
      <w:pPr>
        <w:spacing w:line="240" w:lineRule="auto"/>
      </w:pPr>
      <w:r w:rsidRPr="00130A54">
        <w:t>(2) Data capture for the full calendar year (e.g. if monitoring was carried out for 6 months, the maximum data capture for the full calendar year is 50%).</w:t>
      </w:r>
    </w:p>
    <w:p w14:paraId="196A027F" w14:textId="77777777" w:rsidR="008142E3" w:rsidRDefault="008142E3" w:rsidP="00400B0F">
      <w:pPr>
        <w:spacing w:before="0" w:after="0"/>
      </w:pPr>
      <w:r>
        <w:br w:type="page"/>
      </w:r>
    </w:p>
    <w:p w14:paraId="68668B63" w14:textId="449F1AA4" w:rsidR="00722E1F" w:rsidRDefault="00722E1F" w:rsidP="00400B0F">
      <w:pPr>
        <w:pStyle w:val="Caption"/>
      </w:pPr>
      <w:bookmarkStart w:id="99" w:name="_Toc74755624"/>
      <w:r>
        <w:t>Figure A.</w:t>
      </w:r>
      <w:r w:rsidR="004813E8">
        <w:rPr>
          <w:color w:val="2B579A"/>
          <w:shd w:val="clear" w:color="auto" w:fill="E6E6E6"/>
        </w:rPr>
        <w:fldChar w:fldCharType="begin"/>
      </w:r>
      <w:r w:rsidR="004813E8">
        <w:rPr>
          <w:noProof/>
        </w:rPr>
        <w:instrText xml:space="preserve"> SEQ Figure_A \* ARABIC </w:instrText>
      </w:r>
      <w:r w:rsidR="004813E8">
        <w:rPr>
          <w:color w:val="2B579A"/>
          <w:shd w:val="clear" w:color="auto" w:fill="E6E6E6"/>
        </w:rPr>
        <w:fldChar w:fldCharType="separate"/>
      </w:r>
      <w:r w:rsidR="0062374A">
        <w:rPr>
          <w:noProof/>
        </w:rPr>
        <w:t>3</w:t>
      </w:r>
      <w:r w:rsidR="004813E8">
        <w:rPr>
          <w:color w:val="2B579A"/>
          <w:shd w:val="clear" w:color="auto" w:fill="E6E6E6"/>
        </w:rPr>
        <w:fldChar w:fldCharType="end"/>
      </w:r>
      <w:r>
        <w:t xml:space="preserve"> – </w:t>
      </w:r>
      <w:r w:rsidRPr="00722E1F">
        <w:t xml:space="preserve">Trends in </w:t>
      </w:r>
      <w:bookmarkStart w:id="100" w:name="_Hlk74580235"/>
      <w:r w:rsidRPr="00722E1F">
        <w:t>Annual Mean PM</w:t>
      </w:r>
      <w:r w:rsidRPr="00722E1F">
        <w:rPr>
          <w:vertAlign w:val="subscript"/>
        </w:rPr>
        <w:t xml:space="preserve">2.5 </w:t>
      </w:r>
      <w:bookmarkEnd w:id="100"/>
      <w:r w:rsidRPr="00722E1F">
        <w:t>Concentrations</w:t>
      </w:r>
      <w:bookmarkStart w:id="101" w:name="_Ref55286480"/>
      <w:bookmarkEnd w:id="99"/>
    </w:p>
    <w:bookmarkEnd w:id="101"/>
    <w:p w14:paraId="10025FF9" w14:textId="77777777" w:rsidR="00005A10" w:rsidRDefault="00005A10" w:rsidP="00400B0F"/>
    <w:p w14:paraId="4D203F9C" w14:textId="34882AB2" w:rsidR="004B1A16" w:rsidRPr="00005A10" w:rsidRDefault="00583E72" w:rsidP="00400B0F">
      <w:pPr>
        <w:sectPr w:rsidR="004B1A16" w:rsidRPr="00005A10" w:rsidSect="003172A5">
          <w:footerReference w:type="default" r:id="rId48"/>
          <w:pgSz w:w="16838" w:h="11899" w:orient="landscape" w:code="9"/>
          <w:pgMar w:top="1134" w:right="1134" w:bottom="1134" w:left="1134" w:header="340" w:footer="340" w:gutter="0"/>
          <w:cols w:space="708"/>
          <w:docGrid w:linePitch="326"/>
        </w:sectPr>
      </w:pPr>
      <w:r>
        <w:rPr>
          <w:noProof/>
        </w:rPr>
        <w:drawing>
          <wp:inline distT="0" distB="0" distL="0" distR="0" wp14:anchorId="61874977" wp14:editId="4AF86258">
            <wp:extent cx="8795795" cy="5287223"/>
            <wp:effectExtent l="0" t="0" r="5715"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811205" cy="5296486"/>
                    </a:xfrm>
                    <a:prstGeom prst="rect">
                      <a:avLst/>
                    </a:prstGeom>
                    <a:noFill/>
                  </pic:spPr>
                </pic:pic>
              </a:graphicData>
            </a:graphic>
          </wp:inline>
        </w:drawing>
      </w:r>
    </w:p>
    <w:p w14:paraId="6935186A" w14:textId="77777777" w:rsidR="008142E3" w:rsidRDefault="008142E3" w:rsidP="00400B0F">
      <w:pPr>
        <w:pStyle w:val="Heading1"/>
        <w:numPr>
          <w:ilvl w:val="0"/>
          <w:numId w:val="0"/>
        </w:numPr>
      </w:pPr>
      <w:bookmarkStart w:id="102" w:name="_Appendix_B:_Full"/>
      <w:bookmarkStart w:id="103" w:name="_Ref55286405"/>
      <w:bookmarkStart w:id="104" w:name="_Toc75438388"/>
      <w:bookmarkEnd w:id="26"/>
      <w:bookmarkEnd w:id="27"/>
      <w:bookmarkEnd w:id="102"/>
      <w:r>
        <w:t>Appendix B: Full Monthly Diffusion Tube Results for 2020</w:t>
      </w:r>
      <w:bookmarkEnd w:id="103"/>
      <w:bookmarkEnd w:id="104"/>
    </w:p>
    <w:p w14:paraId="34F6850F" w14:textId="0FD26519" w:rsidR="008142E3" w:rsidRDefault="00E33DDC" w:rsidP="00400B0F">
      <w:pPr>
        <w:pStyle w:val="Caption"/>
        <w:rPr>
          <w:rFonts w:cs="Arial"/>
          <w:szCs w:val="24"/>
        </w:rPr>
      </w:pPr>
      <w:bookmarkStart w:id="105" w:name="_Ref55286624"/>
      <w:bookmarkStart w:id="106" w:name="_Toc67997505"/>
      <w:r>
        <w:t>Table B.</w:t>
      </w:r>
      <w:r w:rsidR="00742944">
        <w:rPr>
          <w:color w:val="2B579A"/>
          <w:shd w:val="clear" w:color="auto" w:fill="E6E6E6"/>
        </w:rPr>
        <w:fldChar w:fldCharType="begin"/>
      </w:r>
      <w:r w:rsidR="00742944">
        <w:rPr>
          <w:noProof/>
        </w:rPr>
        <w:instrText xml:space="preserve"> SEQ Table_B \* ARABIC </w:instrText>
      </w:r>
      <w:r w:rsidR="00742944">
        <w:rPr>
          <w:color w:val="2B579A"/>
          <w:shd w:val="clear" w:color="auto" w:fill="E6E6E6"/>
        </w:rPr>
        <w:fldChar w:fldCharType="separate"/>
      </w:r>
      <w:r w:rsidR="0062374A">
        <w:rPr>
          <w:noProof/>
        </w:rPr>
        <w:t>1</w:t>
      </w:r>
      <w:r w:rsidR="00742944">
        <w:rPr>
          <w:color w:val="2B579A"/>
          <w:shd w:val="clear" w:color="auto" w:fill="E6E6E6"/>
        </w:rPr>
        <w:fldChar w:fldCharType="end"/>
      </w:r>
      <w:bookmarkEnd w:id="105"/>
      <w:r>
        <w:t xml:space="preserve"> </w:t>
      </w:r>
      <w:r w:rsidR="008142E3">
        <w:t xml:space="preserve">– </w:t>
      </w:r>
      <w:r w:rsidR="008142E3" w:rsidRPr="008142E3">
        <w:t>NO</w:t>
      </w:r>
      <w:r w:rsidR="008142E3" w:rsidRPr="008142E3">
        <w:rPr>
          <w:vertAlign w:val="subscript"/>
        </w:rPr>
        <w:t>2</w:t>
      </w:r>
      <w:r w:rsidR="008142E3">
        <w:t xml:space="preserve"> </w:t>
      </w:r>
      <w:r w:rsidR="00130A54">
        <w:t xml:space="preserve">2020 </w:t>
      </w:r>
      <w:r w:rsidR="008142E3">
        <w:t>Diffusion Tube Results</w:t>
      </w:r>
      <w:r w:rsidR="00130A54">
        <w:t xml:space="preserve"> (</w:t>
      </w:r>
      <w:r w:rsidR="00130A54" w:rsidRPr="00786EB7">
        <w:rPr>
          <w:rFonts w:cs="Arial"/>
          <w:szCs w:val="24"/>
        </w:rPr>
        <w:t>µg/m</w:t>
      </w:r>
      <w:r w:rsidR="00130A54" w:rsidRPr="00786EB7">
        <w:rPr>
          <w:rFonts w:cs="Arial"/>
          <w:szCs w:val="24"/>
          <w:vertAlign w:val="superscript"/>
        </w:rPr>
        <w:t>3</w:t>
      </w:r>
      <w:r w:rsidR="00130A54" w:rsidRPr="00786EB7">
        <w:rPr>
          <w:rFonts w:cs="Arial"/>
          <w:szCs w:val="24"/>
        </w:rPr>
        <w:t>)</w:t>
      </w:r>
      <w:bookmarkEnd w:id="106"/>
    </w:p>
    <w:tbl>
      <w:tblPr>
        <w:tblW w:w="17280" w:type="dxa"/>
        <w:tblLook w:val="04A0" w:firstRow="1" w:lastRow="0" w:firstColumn="1" w:lastColumn="0" w:noHBand="0" w:noVBand="1"/>
      </w:tblPr>
      <w:tblGrid>
        <w:gridCol w:w="1084"/>
        <w:gridCol w:w="1073"/>
        <w:gridCol w:w="1183"/>
        <w:gridCol w:w="884"/>
        <w:gridCol w:w="884"/>
        <w:gridCol w:w="877"/>
        <w:gridCol w:w="875"/>
        <w:gridCol w:w="884"/>
        <w:gridCol w:w="884"/>
        <w:gridCol w:w="884"/>
        <w:gridCol w:w="884"/>
        <w:gridCol w:w="884"/>
        <w:gridCol w:w="884"/>
        <w:gridCol w:w="884"/>
        <w:gridCol w:w="884"/>
        <w:gridCol w:w="893"/>
        <w:gridCol w:w="1294"/>
        <w:gridCol w:w="1161"/>
      </w:tblGrid>
      <w:tr w:rsidR="006A1979" w:rsidRPr="001D57F0" w14:paraId="7B90455F" w14:textId="77777777" w:rsidTr="006A1979">
        <w:trPr>
          <w:trHeight w:val="290"/>
        </w:trPr>
        <w:tc>
          <w:tcPr>
            <w:tcW w:w="1084" w:type="dxa"/>
            <w:vMerge w:val="restart"/>
            <w:tcBorders>
              <w:top w:val="single" w:sz="4" w:space="0" w:color="auto"/>
              <w:left w:val="single" w:sz="4" w:space="0" w:color="auto"/>
              <w:bottom w:val="single" w:sz="4" w:space="0" w:color="auto"/>
              <w:right w:val="single" w:sz="4" w:space="0" w:color="auto"/>
            </w:tcBorders>
            <w:shd w:val="clear" w:color="000000" w:fill="00AF41"/>
            <w:vAlign w:val="center"/>
            <w:hideMark/>
          </w:tcPr>
          <w:p w14:paraId="421D98E2"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Diffusion Tube ID</w:t>
            </w:r>
          </w:p>
        </w:tc>
        <w:tc>
          <w:tcPr>
            <w:tcW w:w="1073" w:type="dxa"/>
            <w:vMerge w:val="restart"/>
            <w:tcBorders>
              <w:top w:val="single" w:sz="4" w:space="0" w:color="auto"/>
              <w:left w:val="single" w:sz="4" w:space="0" w:color="auto"/>
              <w:bottom w:val="single" w:sz="4" w:space="0" w:color="auto"/>
              <w:right w:val="single" w:sz="4" w:space="0" w:color="auto"/>
            </w:tcBorders>
            <w:shd w:val="clear" w:color="000000" w:fill="00AF41"/>
            <w:vAlign w:val="center"/>
            <w:hideMark/>
          </w:tcPr>
          <w:p w14:paraId="047EE5FB"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X OS Grid Ref (Easting)</w:t>
            </w:r>
          </w:p>
        </w:tc>
        <w:tc>
          <w:tcPr>
            <w:tcW w:w="1183" w:type="dxa"/>
            <w:vMerge w:val="restart"/>
            <w:tcBorders>
              <w:top w:val="single" w:sz="4" w:space="0" w:color="auto"/>
              <w:left w:val="single" w:sz="4" w:space="0" w:color="auto"/>
              <w:bottom w:val="single" w:sz="4" w:space="0" w:color="auto"/>
              <w:right w:val="single" w:sz="4" w:space="0" w:color="auto"/>
            </w:tcBorders>
            <w:shd w:val="clear" w:color="000000" w:fill="00AF41"/>
            <w:vAlign w:val="center"/>
            <w:hideMark/>
          </w:tcPr>
          <w:p w14:paraId="1349736D"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Y OS Grid Ref (Northing)</w:t>
            </w:r>
          </w:p>
        </w:tc>
        <w:tc>
          <w:tcPr>
            <w:tcW w:w="10592" w:type="dxa"/>
            <w:gridSpan w:val="12"/>
            <w:tcBorders>
              <w:top w:val="single" w:sz="4" w:space="0" w:color="auto"/>
              <w:left w:val="nil"/>
              <w:bottom w:val="single" w:sz="4" w:space="0" w:color="auto"/>
              <w:right w:val="nil"/>
            </w:tcBorders>
            <w:shd w:val="clear" w:color="000000" w:fill="00AF41"/>
            <w:vAlign w:val="center"/>
            <w:hideMark/>
          </w:tcPr>
          <w:p w14:paraId="03DDDAA4"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NO</w:t>
            </w:r>
            <w:r w:rsidRPr="001D57F0">
              <w:rPr>
                <w:rFonts w:eastAsia="Times New Roman" w:cs="Arial"/>
                <w:b/>
                <w:bCs/>
                <w:color w:val="FFFFFF"/>
                <w:sz w:val="20"/>
                <w:szCs w:val="20"/>
                <w:vertAlign w:val="subscript"/>
                <w:lang w:eastAsia="en-GB"/>
              </w:rPr>
              <w:t>2</w:t>
            </w:r>
            <w:r w:rsidRPr="001D57F0">
              <w:rPr>
                <w:rFonts w:eastAsia="Times New Roman" w:cs="Arial"/>
                <w:b/>
                <w:bCs/>
                <w:color w:val="FFFFFF"/>
                <w:sz w:val="20"/>
                <w:szCs w:val="20"/>
                <w:lang w:eastAsia="en-GB"/>
              </w:rPr>
              <w:t xml:space="preserve"> Mean Concentrations (µg/m</w:t>
            </w:r>
            <w:r w:rsidRPr="001D57F0">
              <w:rPr>
                <w:rFonts w:eastAsia="Times New Roman" w:cs="Arial"/>
                <w:b/>
                <w:bCs/>
                <w:color w:val="FFFFFF"/>
                <w:sz w:val="20"/>
                <w:szCs w:val="20"/>
                <w:vertAlign w:val="superscript"/>
                <w:lang w:eastAsia="en-GB"/>
              </w:rPr>
              <w:t>3</w:t>
            </w:r>
            <w:r w:rsidRPr="001D57F0">
              <w:rPr>
                <w:rFonts w:eastAsia="Times New Roman" w:cs="Arial"/>
                <w:b/>
                <w:bCs/>
                <w:color w:val="FFFFFF"/>
                <w:sz w:val="20"/>
                <w:szCs w:val="20"/>
                <w:lang w:eastAsia="en-GB"/>
              </w:rPr>
              <w:t>)</w:t>
            </w:r>
          </w:p>
        </w:tc>
        <w:tc>
          <w:tcPr>
            <w:tcW w:w="3348" w:type="dxa"/>
            <w:gridSpan w:val="3"/>
            <w:vMerge w:val="restart"/>
            <w:tcBorders>
              <w:top w:val="single" w:sz="4" w:space="0" w:color="auto"/>
              <w:left w:val="single" w:sz="4" w:space="0" w:color="auto"/>
              <w:bottom w:val="single" w:sz="4" w:space="0" w:color="000000"/>
              <w:right w:val="single" w:sz="4" w:space="0" w:color="000000"/>
            </w:tcBorders>
            <w:shd w:val="clear" w:color="000000" w:fill="00AF41"/>
            <w:vAlign w:val="center"/>
            <w:hideMark/>
          </w:tcPr>
          <w:p w14:paraId="71198856"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Time Weighted Annual Mean (µg/m3)</w:t>
            </w:r>
          </w:p>
        </w:tc>
      </w:tr>
      <w:tr w:rsidR="001D57F0" w:rsidRPr="001D57F0" w14:paraId="30B80F39" w14:textId="77777777" w:rsidTr="006A1979">
        <w:trPr>
          <w:trHeight w:val="290"/>
        </w:trPr>
        <w:tc>
          <w:tcPr>
            <w:tcW w:w="1084" w:type="dxa"/>
            <w:vMerge/>
            <w:tcBorders>
              <w:top w:val="single" w:sz="4" w:space="0" w:color="auto"/>
              <w:left w:val="single" w:sz="4" w:space="0" w:color="auto"/>
              <w:bottom w:val="single" w:sz="4" w:space="0" w:color="auto"/>
              <w:right w:val="single" w:sz="4" w:space="0" w:color="auto"/>
            </w:tcBorders>
            <w:vAlign w:val="center"/>
            <w:hideMark/>
          </w:tcPr>
          <w:p w14:paraId="68C250B6"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019F320F"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1183" w:type="dxa"/>
            <w:vMerge/>
            <w:tcBorders>
              <w:top w:val="single" w:sz="4" w:space="0" w:color="auto"/>
              <w:left w:val="single" w:sz="4" w:space="0" w:color="auto"/>
              <w:bottom w:val="single" w:sz="4" w:space="0" w:color="auto"/>
              <w:right w:val="single" w:sz="4" w:space="0" w:color="auto"/>
            </w:tcBorders>
            <w:vAlign w:val="center"/>
            <w:hideMark/>
          </w:tcPr>
          <w:p w14:paraId="5350180E"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42B7AA2D"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Jan</w:t>
            </w:r>
          </w:p>
        </w:tc>
        <w:tc>
          <w:tcPr>
            <w:tcW w:w="884"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1B086488"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Feb</w:t>
            </w:r>
          </w:p>
        </w:tc>
        <w:tc>
          <w:tcPr>
            <w:tcW w:w="877"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2C056344"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Mar</w:t>
            </w:r>
          </w:p>
        </w:tc>
        <w:tc>
          <w:tcPr>
            <w:tcW w:w="875"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65BDE179"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Apr</w:t>
            </w:r>
          </w:p>
        </w:tc>
        <w:tc>
          <w:tcPr>
            <w:tcW w:w="884"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407FBA85"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May</w:t>
            </w:r>
          </w:p>
        </w:tc>
        <w:tc>
          <w:tcPr>
            <w:tcW w:w="884"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7F2358CE"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Jun</w:t>
            </w:r>
          </w:p>
        </w:tc>
        <w:tc>
          <w:tcPr>
            <w:tcW w:w="884"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0A12C489"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Jul</w:t>
            </w:r>
          </w:p>
        </w:tc>
        <w:tc>
          <w:tcPr>
            <w:tcW w:w="884"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0D0A6C40"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Aug</w:t>
            </w:r>
          </w:p>
        </w:tc>
        <w:tc>
          <w:tcPr>
            <w:tcW w:w="884"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63E79ABB"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Sep</w:t>
            </w:r>
          </w:p>
        </w:tc>
        <w:tc>
          <w:tcPr>
            <w:tcW w:w="884"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4727DCB6"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Oct</w:t>
            </w:r>
          </w:p>
        </w:tc>
        <w:tc>
          <w:tcPr>
            <w:tcW w:w="884" w:type="dxa"/>
            <w:vMerge w:val="restart"/>
            <w:tcBorders>
              <w:top w:val="nil"/>
              <w:left w:val="single" w:sz="4" w:space="0" w:color="auto"/>
              <w:bottom w:val="single" w:sz="4" w:space="0" w:color="000000"/>
              <w:right w:val="single" w:sz="4" w:space="0" w:color="auto"/>
            </w:tcBorders>
            <w:shd w:val="clear" w:color="000000" w:fill="00AF41"/>
            <w:vAlign w:val="center"/>
            <w:hideMark/>
          </w:tcPr>
          <w:p w14:paraId="5F4B17B8"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Nov</w:t>
            </w:r>
          </w:p>
        </w:tc>
        <w:tc>
          <w:tcPr>
            <w:tcW w:w="884" w:type="dxa"/>
            <w:vMerge w:val="restart"/>
            <w:tcBorders>
              <w:top w:val="nil"/>
              <w:left w:val="single" w:sz="4" w:space="0" w:color="auto"/>
              <w:bottom w:val="single" w:sz="4" w:space="0" w:color="000000"/>
              <w:right w:val="single" w:sz="4" w:space="0" w:color="000000"/>
            </w:tcBorders>
            <w:shd w:val="clear" w:color="000000" w:fill="00AF41"/>
            <w:vAlign w:val="center"/>
            <w:hideMark/>
          </w:tcPr>
          <w:p w14:paraId="5ED9D35F"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Dec</w:t>
            </w:r>
          </w:p>
        </w:tc>
        <w:tc>
          <w:tcPr>
            <w:tcW w:w="3348" w:type="dxa"/>
            <w:gridSpan w:val="3"/>
            <w:vMerge/>
            <w:tcBorders>
              <w:top w:val="nil"/>
              <w:left w:val="single" w:sz="4" w:space="0" w:color="auto"/>
              <w:bottom w:val="single" w:sz="4" w:space="0" w:color="000000"/>
              <w:right w:val="single" w:sz="4" w:space="0" w:color="000000"/>
            </w:tcBorders>
            <w:vAlign w:val="center"/>
            <w:hideMark/>
          </w:tcPr>
          <w:p w14:paraId="658EC212" w14:textId="77777777" w:rsidR="001D57F0" w:rsidRPr="001D57F0" w:rsidRDefault="001D57F0" w:rsidP="001D57F0">
            <w:pPr>
              <w:spacing w:before="0" w:after="0" w:line="240" w:lineRule="auto"/>
              <w:rPr>
                <w:rFonts w:eastAsia="Times New Roman" w:cs="Arial"/>
                <w:b/>
                <w:bCs/>
                <w:color w:val="FFFFFF"/>
                <w:sz w:val="20"/>
                <w:szCs w:val="20"/>
                <w:lang w:eastAsia="en-GB"/>
              </w:rPr>
            </w:pPr>
          </w:p>
        </w:tc>
      </w:tr>
      <w:tr w:rsidR="006A1979" w:rsidRPr="001D57F0" w14:paraId="4A5D286E" w14:textId="77777777" w:rsidTr="00FF3EE6">
        <w:trPr>
          <w:trHeight w:val="1570"/>
        </w:trPr>
        <w:tc>
          <w:tcPr>
            <w:tcW w:w="1084" w:type="dxa"/>
            <w:vMerge/>
            <w:tcBorders>
              <w:top w:val="single" w:sz="4" w:space="0" w:color="auto"/>
              <w:left w:val="single" w:sz="4" w:space="0" w:color="auto"/>
              <w:bottom w:val="single" w:sz="4" w:space="0" w:color="auto"/>
              <w:right w:val="single" w:sz="4" w:space="0" w:color="auto"/>
            </w:tcBorders>
            <w:vAlign w:val="center"/>
            <w:hideMark/>
          </w:tcPr>
          <w:p w14:paraId="202CB9A7"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6EDAFB21"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1183" w:type="dxa"/>
            <w:vMerge/>
            <w:tcBorders>
              <w:top w:val="single" w:sz="4" w:space="0" w:color="auto"/>
              <w:left w:val="single" w:sz="4" w:space="0" w:color="auto"/>
              <w:bottom w:val="single" w:sz="4" w:space="0" w:color="auto"/>
              <w:right w:val="single" w:sz="4" w:space="0" w:color="auto"/>
            </w:tcBorders>
            <w:vAlign w:val="center"/>
            <w:hideMark/>
          </w:tcPr>
          <w:p w14:paraId="61E11B6B"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tcBorders>
              <w:top w:val="nil"/>
              <w:left w:val="single" w:sz="4" w:space="0" w:color="auto"/>
              <w:bottom w:val="single" w:sz="4" w:space="0" w:color="000000"/>
              <w:right w:val="single" w:sz="4" w:space="0" w:color="auto"/>
            </w:tcBorders>
            <w:vAlign w:val="center"/>
            <w:hideMark/>
          </w:tcPr>
          <w:p w14:paraId="13E5D095"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tcBorders>
              <w:top w:val="nil"/>
              <w:left w:val="single" w:sz="4" w:space="0" w:color="auto"/>
              <w:bottom w:val="single" w:sz="4" w:space="0" w:color="000000"/>
              <w:right w:val="single" w:sz="4" w:space="0" w:color="auto"/>
            </w:tcBorders>
            <w:vAlign w:val="center"/>
            <w:hideMark/>
          </w:tcPr>
          <w:p w14:paraId="727FAF81"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77" w:type="dxa"/>
            <w:vMerge/>
            <w:tcBorders>
              <w:top w:val="nil"/>
              <w:left w:val="single" w:sz="4" w:space="0" w:color="auto"/>
              <w:bottom w:val="single" w:sz="4" w:space="0" w:color="auto"/>
              <w:right w:val="single" w:sz="4" w:space="0" w:color="auto"/>
            </w:tcBorders>
            <w:vAlign w:val="center"/>
            <w:hideMark/>
          </w:tcPr>
          <w:p w14:paraId="277CDDBA"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75" w:type="dxa"/>
            <w:vMerge/>
            <w:tcBorders>
              <w:top w:val="nil"/>
              <w:left w:val="single" w:sz="4" w:space="0" w:color="auto"/>
              <w:bottom w:val="single" w:sz="4" w:space="0" w:color="auto"/>
              <w:right w:val="single" w:sz="4" w:space="0" w:color="auto"/>
            </w:tcBorders>
            <w:vAlign w:val="center"/>
            <w:hideMark/>
          </w:tcPr>
          <w:p w14:paraId="7C52F7C4"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tcBorders>
              <w:top w:val="nil"/>
              <w:left w:val="single" w:sz="4" w:space="0" w:color="auto"/>
              <w:bottom w:val="single" w:sz="4" w:space="0" w:color="000000"/>
              <w:right w:val="single" w:sz="4" w:space="0" w:color="auto"/>
            </w:tcBorders>
            <w:vAlign w:val="center"/>
            <w:hideMark/>
          </w:tcPr>
          <w:p w14:paraId="15F81A2F"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tcBorders>
              <w:top w:val="nil"/>
              <w:left w:val="single" w:sz="4" w:space="0" w:color="auto"/>
              <w:bottom w:val="single" w:sz="4" w:space="0" w:color="000000"/>
              <w:right w:val="single" w:sz="4" w:space="0" w:color="auto"/>
            </w:tcBorders>
            <w:vAlign w:val="center"/>
            <w:hideMark/>
          </w:tcPr>
          <w:p w14:paraId="6A1139D7"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tcBorders>
              <w:top w:val="nil"/>
              <w:left w:val="single" w:sz="4" w:space="0" w:color="auto"/>
              <w:bottom w:val="single" w:sz="4" w:space="0" w:color="000000"/>
              <w:right w:val="single" w:sz="4" w:space="0" w:color="auto"/>
            </w:tcBorders>
            <w:vAlign w:val="center"/>
            <w:hideMark/>
          </w:tcPr>
          <w:p w14:paraId="31E4D2DC"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tcBorders>
              <w:top w:val="nil"/>
              <w:left w:val="single" w:sz="4" w:space="0" w:color="auto"/>
              <w:bottom w:val="single" w:sz="4" w:space="0" w:color="000000"/>
              <w:right w:val="single" w:sz="4" w:space="0" w:color="auto"/>
            </w:tcBorders>
            <w:vAlign w:val="center"/>
            <w:hideMark/>
          </w:tcPr>
          <w:p w14:paraId="327A0F06"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tcBorders>
              <w:top w:val="nil"/>
              <w:left w:val="single" w:sz="4" w:space="0" w:color="auto"/>
              <w:bottom w:val="single" w:sz="4" w:space="0" w:color="000000"/>
              <w:right w:val="single" w:sz="4" w:space="0" w:color="auto"/>
            </w:tcBorders>
            <w:vAlign w:val="center"/>
            <w:hideMark/>
          </w:tcPr>
          <w:p w14:paraId="0F9F2F80"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tcBorders>
              <w:top w:val="nil"/>
              <w:left w:val="single" w:sz="4" w:space="0" w:color="auto"/>
              <w:bottom w:val="single" w:sz="4" w:space="0" w:color="000000"/>
              <w:right w:val="single" w:sz="4" w:space="0" w:color="auto"/>
            </w:tcBorders>
            <w:vAlign w:val="center"/>
            <w:hideMark/>
          </w:tcPr>
          <w:p w14:paraId="68EDFE90"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tcBorders>
              <w:top w:val="nil"/>
              <w:left w:val="single" w:sz="4" w:space="0" w:color="auto"/>
              <w:bottom w:val="single" w:sz="4" w:space="0" w:color="000000"/>
              <w:right w:val="single" w:sz="4" w:space="0" w:color="auto"/>
            </w:tcBorders>
            <w:vAlign w:val="center"/>
            <w:hideMark/>
          </w:tcPr>
          <w:p w14:paraId="0D4BDBF1"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84" w:type="dxa"/>
            <w:vMerge/>
            <w:tcBorders>
              <w:top w:val="nil"/>
              <w:left w:val="single" w:sz="4" w:space="0" w:color="auto"/>
              <w:bottom w:val="single" w:sz="4" w:space="0" w:color="000000"/>
              <w:right w:val="single" w:sz="4" w:space="0" w:color="000000"/>
            </w:tcBorders>
            <w:vAlign w:val="center"/>
            <w:hideMark/>
          </w:tcPr>
          <w:p w14:paraId="3241692B" w14:textId="77777777" w:rsidR="001D57F0" w:rsidRPr="001D57F0" w:rsidRDefault="001D57F0" w:rsidP="001D57F0">
            <w:pPr>
              <w:spacing w:before="0" w:after="0" w:line="240" w:lineRule="auto"/>
              <w:rPr>
                <w:rFonts w:eastAsia="Times New Roman" w:cs="Arial"/>
                <w:b/>
                <w:bCs/>
                <w:color w:val="FFFFFF"/>
                <w:sz w:val="20"/>
                <w:szCs w:val="20"/>
                <w:lang w:eastAsia="en-GB"/>
              </w:rPr>
            </w:pPr>
          </w:p>
        </w:tc>
        <w:tc>
          <w:tcPr>
            <w:tcW w:w="893" w:type="dxa"/>
            <w:tcBorders>
              <w:top w:val="nil"/>
              <w:left w:val="nil"/>
              <w:bottom w:val="single" w:sz="4" w:space="0" w:color="auto"/>
              <w:right w:val="single" w:sz="4" w:space="0" w:color="auto"/>
            </w:tcBorders>
            <w:shd w:val="clear" w:color="000000" w:fill="00AF41"/>
            <w:vAlign w:val="center"/>
            <w:hideMark/>
          </w:tcPr>
          <w:p w14:paraId="126C6E71"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Raw Data</w:t>
            </w:r>
          </w:p>
        </w:tc>
        <w:tc>
          <w:tcPr>
            <w:tcW w:w="1294" w:type="dxa"/>
            <w:tcBorders>
              <w:top w:val="nil"/>
              <w:left w:val="nil"/>
              <w:bottom w:val="single" w:sz="4" w:space="0" w:color="auto"/>
              <w:right w:val="single" w:sz="4" w:space="0" w:color="auto"/>
            </w:tcBorders>
            <w:shd w:val="clear" w:color="000000" w:fill="00AF41"/>
            <w:vAlign w:val="center"/>
            <w:hideMark/>
          </w:tcPr>
          <w:p w14:paraId="64D59407"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Bias Adjusted (0.85) and Annualised</w:t>
            </w:r>
          </w:p>
        </w:tc>
        <w:tc>
          <w:tcPr>
            <w:tcW w:w="1161" w:type="dxa"/>
            <w:tcBorders>
              <w:top w:val="nil"/>
              <w:left w:val="nil"/>
              <w:bottom w:val="nil"/>
              <w:right w:val="single" w:sz="4" w:space="0" w:color="auto"/>
            </w:tcBorders>
            <w:shd w:val="clear" w:color="000000" w:fill="00AF41"/>
            <w:vAlign w:val="bottom"/>
            <w:hideMark/>
          </w:tcPr>
          <w:p w14:paraId="709CCC79" w14:textId="77777777" w:rsidR="001D57F0" w:rsidRPr="001D57F0" w:rsidRDefault="001D57F0" w:rsidP="001D57F0">
            <w:pPr>
              <w:spacing w:before="0" w:after="0" w:line="240" w:lineRule="auto"/>
              <w:jc w:val="center"/>
              <w:rPr>
                <w:rFonts w:eastAsia="Times New Roman" w:cs="Arial"/>
                <w:b/>
                <w:bCs/>
                <w:color w:val="FFFFFF"/>
                <w:sz w:val="20"/>
                <w:szCs w:val="20"/>
                <w:lang w:eastAsia="en-GB"/>
              </w:rPr>
            </w:pPr>
            <w:r w:rsidRPr="001D57F0">
              <w:rPr>
                <w:rFonts w:eastAsia="Times New Roman" w:cs="Arial"/>
                <w:b/>
                <w:bCs/>
                <w:color w:val="FFFFFF"/>
                <w:sz w:val="20"/>
                <w:szCs w:val="20"/>
                <w:lang w:eastAsia="en-GB"/>
              </w:rPr>
              <w:t>Distance Corrected to Nearest Exposure</w:t>
            </w:r>
          </w:p>
        </w:tc>
      </w:tr>
      <w:tr w:rsidR="00FF3EE6" w:rsidRPr="001D57F0" w14:paraId="21C993F0"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72E4E22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w:t>
            </w:r>
          </w:p>
        </w:tc>
        <w:tc>
          <w:tcPr>
            <w:tcW w:w="1073" w:type="dxa"/>
            <w:tcBorders>
              <w:top w:val="nil"/>
              <w:left w:val="nil"/>
              <w:bottom w:val="single" w:sz="4" w:space="0" w:color="auto"/>
              <w:right w:val="single" w:sz="4" w:space="0" w:color="auto"/>
            </w:tcBorders>
            <w:shd w:val="clear" w:color="auto" w:fill="auto"/>
            <w:vAlign w:val="center"/>
            <w:hideMark/>
          </w:tcPr>
          <w:p w14:paraId="51C48BA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440820</w:t>
            </w:r>
          </w:p>
        </w:tc>
        <w:tc>
          <w:tcPr>
            <w:tcW w:w="1183" w:type="dxa"/>
            <w:tcBorders>
              <w:top w:val="nil"/>
              <w:left w:val="nil"/>
              <w:bottom w:val="single" w:sz="4" w:space="0" w:color="auto"/>
              <w:right w:val="single" w:sz="4" w:space="0" w:color="auto"/>
            </w:tcBorders>
            <w:shd w:val="clear" w:color="auto" w:fill="auto"/>
            <w:vAlign w:val="center"/>
            <w:hideMark/>
          </w:tcPr>
          <w:p w14:paraId="7C2E097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561821</w:t>
            </w:r>
          </w:p>
        </w:tc>
        <w:tc>
          <w:tcPr>
            <w:tcW w:w="884" w:type="dxa"/>
            <w:tcBorders>
              <w:top w:val="nil"/>
              <w:left w:val="nil"/>
              <w:bottom w:val="single" w:sz="4" w:space="0" w:color="auto"/>
              <w:right w:val="single" w:sz="4" w:space="0" w:color="auto"/>
            </w:tcBorders>
            <w:shd w:val="clear" w:color="auto" w:fill="auto"/>
            <w:vAlign w:val="center"/>
            <w:hideMark/>
          </w:tcPr>
          <w:p w14:paraId="0D2EE45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31.1</w:t>
            </w:r>
          </w:p>
        </w:tc>
        <w:tc>
          <w:tcPr>
            <w:tcW w:w="884" w:type="dxa"/>
            <w:tcBorders>
              <w:top w:val="nil"/>
              <w:left w:val="nil"/>
              <w:bottom w:val="single" w:sz="4" w:space="0" w:color="auto"/>
              <w:right w:val="single" w:sz="4" w:space="0" w:color="auto"/>
            </w:tcBorders>
            <w:shd w:val="clear" w:color="auto" w:fill="auto"/>
            <w:vAlign w:val="center"/>
            <w:hideMark/>
          </w:tcPr>
          <w:p w14:paraId="5AFBA99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19.1</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2F249E02" w14:textId="7F6FE5AF"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16.10</w:t>
            </w:r>
          </w:p>
        </w:tc>
        <w:tc>
          <w:tcPr>
            <w:tcW w:w="884" w:type="dxa"/>
            <w:tcBorders>
              <w:top w:val="nil"/>
              <w:left w:val="nil"/>
              <w:bottom w:val="single" w:sz="4" w:space="0" w:color="auto"/>
              <w:right w:val="single" w:sz="4" w:space="0" w:color="auto"/>
            </w:tcBorders>
            <w:shd w:val="clear" w:color="auto" w:fill="auto"/>
            <w:vAlign w:val="center"/>
            <w:hideMark/>
          </w:tcPr>
          <w:p w14:paraId="2ACE702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19.3</w:t>
            </w:r>
          </w:p>
        </w:tc>
        <w:tc>
          <w:tcPr>
            <w:tcW w:w="884" w:type="dxa"/>
            <w:tcBorders>
              <w:top w:val="nil"/>
              <w:left w:val="nil"/>
              <w:bottom w:val="single" w:sz="4" w:space="0" w:color="auto"/>
              <w:right w:val="single" w:sz="4" w:space="0" w:color="auto"/>
            </w:tcBorders>
            <w:shd w:val="clear" w:color="auto" w:fill="auto"/>
            <w:vAlign w:val="center"/>
            <w:hideMark/>
          </w:tcPr>
          <w:p w14:paraId="4CB1F95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22.0</w:t>
            </w:r>
          </w:p>
        </w:tc>
        <w:tc>
          <w:tcPr>
            <w:tcW w:w="884" w:type="dxa"/>
            <w:tcBorders>
              <w:top w:val="nil"/>
              <w:left w:val="nil"/>
              <w:bottom w:val="single" w:sz="4" w:space="0" w:color="auto"/>
              <w:right w:val="single" w:sz="4" w:space="0" w:color="auto"/>
            </w:tcBorders>
            <w:shd w:val="clear" w:color="auto" w:fill="auto"/>
            <w:vAlign w:val="center"/>
            <w:hideMark/>
          </w:tcPr>
          <w:p w14:paraId="62B8332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19.9</w:t>
            </w:r>
          </w:p>
        </w:tc>
        <w:tc>
          <w:tcPr>
            <w:tcW w:w="884" w:type="dxa"/>
            <w:tcBorders>
              <w:top w:val="nil"/>
              <w:left w:val="nil"/>
              <w:bottom w:val="single" w:sz="4" w:space="0" w:color="auto"/>
              <w:right w:val="single" w:sz="4" w:space="0" w:color="auto"/>
            </w:tcBorders>
            <w:shd w:val="clear" w:color="auto" w:fill="auto"/>
            <w:vAlign w:val="center"/>
            <w:hideMark/>
          </w:tcPr>
          <w:p w14:paraId="4F8F859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23.9</w:t>
            </w:r>
          </w:p>
        </w:tc>
        <w:tc>
          <w:tcPr>
            <w:tcW w:w="884" w:type="dxa"/>
            <w:tcBorders>
              <w:top w:val="nil"/>
              <w:left w:val="nil"/>
              <w:bottom w:val="single" w:sz="4" w:space="0" w:color="auto"/>
              <w:right w:val="single" w:sz="4" w:space="0" w:color="auto"/>
            </w:tcBorders>
            <w:shd w:val="clear" w:color="auto" w:fill="auto"/>
            <w:vAlign w:val="center"/>
            <w:hideMark/>
          </w:tcPr>
          <w:p w14:paraId="50048F3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26.0</w:t>
            </w:r>
          </w:p>
        </w:tc>
        <w:tc>
          <w:tcPr>
            <w:tcW w:w="884" w:type="dxa"/>
            <w:tcBorders>
              <w:top w:val="nil"/>
              <w:left w:val="nil"/>
              <w:bottom w:val="single" w:sz="4" w:space="0" w:color="auto"/>
              <w:right w:val="single" w:sz="4" w:space="0" w:color="auto"/>
            </w:tcBorders>
            <w:shd w:val="clear" w:color="auto" w:fill="auto"/>
            <w:vAlign w:val="center"/>
            <w:hideMark/>
          </w:tcPr>
          <w:p w14:paraId="59F785B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07D117D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33.4</w:t>
            </w:r>
          </w:p>
        </w:tc>
        <w:tc>
          <w:tcPr>
            <w:tcW w:w="884" w:type="dxa"/>
            <w:tcBorders>
              <w:top w:val="nil"/>
              <w:left w:val="nil"/>
              <w:bottom w:val="single" w:sz="4" w:space="0" w:color="auto"/>
              <w:right w:val="single" w:sz="4" w:space="0" w:color="auto"/>
            </w:tcBorders>
            <w:shd w:val="clear" w:color="auto" w:fill="auto"/>
            <w:vAlign w:val="center"/>
            <w:hideMark/>
          </w:tcPr>
          <w:p w14:paraId="7B8D727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30.6</w:t>
            </w:r>
          </w:p>
        </w:tc>
        <w:tc>
          <w:tcPr>
            <w:tcW w:w="893" w:type="dxa"/>
            <w:tcBorders>
              <w:top w:val="nil"/>
              <w:left w:val="nil"/>
              <w:bottom w:val="single" w:sz="4" w:space="0" w:color="auto"/>
              <w:right w:val="single" w:sz="4" w:space="0" w:color="auto"/>
            </w:tcBorders>
            <w:shd w:val="clear" w:color="auto" w:fill="auto"/>
            <w:vAlign w:val="center"/>
            <w:hideMark/>
          </w:tcPr>
          <w:p w14:paraId="7C6C4E3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24.7</w:t>
            </w:r>
          </w:p>
        </w:tc>
        <w:tc>
          <w:tcPr>
            <w:tcW w:w="1294" w:type="dxa"/>
            <w:tcBorders>
              <w:top w:val="nil"/>
              <w:left w:val="nil"/>
              <w:bottom w:val="single" w:sz="4" w:space="0" w:color="auto"/>
              <w:right w:val="single" w:sz="4" w:space="0" w:color="auto"/>
            </w:tcBorders>
            <w:shd w:val="clear" w:color="auto" w:fill="auto"/>
            <w:vAlign w:val="center"/>
            <w:hideMark/>
          </w:tcPr>
          <w:p w14:paraId="6202574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BD00F"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790AB672"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4D3D126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w:t>
            </w:r>
          </w:p>
        </w:tc>
        <w:tc>
          <w:tcPr>
            <w:tcW w:w="1073" w:type="dxa"/>
            <w:tcBorders>
              <w:top w:val="nil"/>
              <w:left w:val="nil"/>
              <w:bottom w:val="single" w:sz="4" w:space="0" w:color="auto"/>
              <w:right w:val="single" w:sz="4" w:space="0" w:color="auto"/>
            </w:tcBorders>
            <w:shd w:val="clear" w:color="auto" w:fill="auto"/>
            <w:vAlign w:val="center"/>
            <w:hideMark/>
          </w:tcPr>
          <w:p w14:paraId="3AF8372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438542</w:t>
            </w:r>
          </w:p>
        </w:tc>
        <w:tc>
          <w:tcPr>
            <w:tcW w:w="1183" w:type="dxa"/>
            <w:tcBorders>
              <w:top w:val="nil"/>
              <w:left w:val="nil"/>
              <w:bottom w:val="single" w:sz="4" w:space="0" w:color="auto"/>
              <w:right w:val="single" w:sz="4" w:space="0" w:color="auto"/>
            </w:tcBorders>
            <w:shd w:val="clear" w:color="auto" w:fill="auto"/>
            <w:vAlign w:val="center"/>
            <w:hideMark/>
          </w:tcPr>
          <w:p w14:paraId="5F68104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562321</w:t>
            </w:r>
          </w:p>
        </w:tc>
        <w:tc>
          <w:tcPr>
            <w:tcW w:w="884" w:type="dxa"/>
            <w:tcBorders>
              <w:top w:val="nil"/>
              <w:left w:val="nil"/>
              <w:bottom w:val="single" w:sz="4" w:space="0" w:color="auto"/>
              <w:right w:val="single" w:sz="4" w:space="0" w:color="auto"/>
            </w:tcBorders>
            <w:shd w:val="clear" w:color="auto" w:fill="auto"/>
            <w:vAlign w:val="center"/>
            <w:hideMark/>
          </w:tcPr>
          <w:p w14:paraId="364485F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38.9</w:t>
            </w:r>
          </w:p>
        </w:tc>
        <w:tc>
          <w:tcPr>
            <w:tcW w:w="884" w:type="dxa"/>
            <w:tcBorders>
              <w:top w:val="nil"/>
              <w:left w:val="nil"/>
              <w:bottom w:val="single" w:sz="4" w:space="0" w:color="auto"/>
              <w:right w:val="single" w:sz="4" w:space="0" w:color="auto"/>
            </w:tcBorders>
            <w:shd w:val="clear" w:color="auto" w:fill="auto"/>
            <w:vAlign w:val="center"/>
            <w:hideMark/>
          </w:tcPr>
          <w:p w14:paraId="7DD38A2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25.2</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49456364" w14:textId="4D87AB99"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17.18</w:t>
            </w:r>
          </w:p>
        </w:tc>
        <w:tc>
          <w:tcPr>
            <w:tcW w:w="884" w:type="dxa"/>
            <w:tcBorders>
              <w:top w:val="nil"/>
              <w:left w:val="nil"/>
              <w:bottom w:val="single" w:sz="4" w:space="0" w:color="auto"/>
              <w:right w:val="single" w:sz="4" w:space="0" w:color="auto"/>
            </w:tcBorders>
            <w:shd w:val="clear" w:color="auto" w:fill="auto"/>
            <w:vAlign w:val="center"/>
            <w:hideMark/>
          </w:tcPr>
          <w:p w14:paraId="0602D79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19.8</w:t>
            </w:r>
          </w:p>
        </w:tc>
        <w:tc>
          <w:tcPr>
            <w:tcW w:w="884" w:type="dxa"/>
            <w:tcBorders>
              <w:top w:val="nil"/>
              <w:left w:val="nil"/>
              <w:bottom w:val="single" w:sz="4" w:space="0" w:color="auto"/>
              <w:right w:val="single" w:sz="4" w:space="0" w:color="auto"/>
            </w:tcBorders>
            <w:shd w:val="clear" w:color="auto" w:fill="auto"/>
            <w:vAlign w:val="center"/>
            <w:hideMark/>
          </w:tcPr>
          <w:p w14:paraId="36154A5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21.8</w:t>
            </w:r>
          </w:p>
        </w:tc>
        <w:tc>
          <w:tcPr>
            <w:tcW w:w="884" w:type="dxa"/>
            <w:tcBorders>
              <w:top w:val="nil"/>
              <w:left w:val="nil"/>
              <w:bottom w:val="single" w:sz="4" w:space="0" w:color="auto"/>
              <w:right w:val="single" w:sz="4" w:space="0" w:color="auto"/>
            </w:tcBorders>
            <w:shd w:val="clear" w:color="auto" w:fill="auto"/>
            <w:vAlign w:val="center"/>
            <w:hideMark/>
          </w:tcPr>
          <w:p w14:paraId="69D0E16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23.1</w:t>
            </w:r>
          </w:p>
        </w:tc>
        <w:tc>
          <w:tcPr>
            <w:tcW w:w="884" w:type="dxa"/>
            <w:tcBorders>
              <w:top w:val="nil"/>
              <w:left w:val="nil"/>
              <w:bottom w:val="single" w:sz="4" w:space="0" w:color="auto"/>
              <w:right w:val="single" w:sz="4" w:space="0" w:color="auto"/>
            </w:tcBorders>
            <w:shd w:val="clear" w:color="auto" w:fill="auto"/>
            <w:vAlign w:val="center"/>
            <w:hideMark/>
          </w:tcPr>
          <w:p w14:paraId="0D6561A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23.5</w:t>
            </w:r>
          </w:p>
        </w:tc>
        <w:tc>
          <w:tcPr>
            <w:tcW w:w="884" w:type="dxa"/>
            <w:tcBorders>
              <w:top w:val="nil"/>
              <w:left w:val="nil"/>
              <w:bottom w:val="single" w:sz="4" w:space="0" w:color="auto"/>
              <w:right w:val="single" w:sz="4" w:space="0" w:color="auto"/>
            </w:tcBorders>
            <w:shd w:val="clear" w:color="auto" w:fill="auto"/>
            <w:vAlign w:val="center"/>
            <w:hideMark/>
          </w:tcPr>
          <w:p w14:paraId="055F0C1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28.6</w:t>
            </w:r>
          </w:p>
        </w:tc>
        <w:tc>
          <w:tcPr>
            <w:tcW w:w="884" w:type="dxa"/>
            <w:tcBorders>
              <w:top w:val="nil"/>
              <w:left w:val="nil"/>
              <w:bottom w:val="single" w:sz="4" w:space="0" w:color="auto"/>
              <w:right w:val="single" w:sz="4" w:space="0" w:color="auto"/>
            </w:tcBorders>
            <w:shd w:val="clear" w:color="auto" w:fill="auto"/>
            <w:vAlign w:val="center"/>
            <w:hideMark/>
          </w:tcPr>
          <w:p w14:paraId="2A5FCDC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32.8</w:t>
            </w:r>
          </w:p>
        </w:tc>
        <w:tc>
          <w:tcPr>
            <w:tcW w:w="884" w:type="dxa"/>
            <w:tcBorders>
              <w:top w:val="nil"/>
              <w:left w:val="nil"/>
              <w:bottom w:val="single" w:sz="4" w:space="0" w:color="auto"/>
              <w:right w:val="single" w:sz="4" w:space="0" w:color="auto"/>
            </w:tcBorders>
            <w:shd w:val="clear" w:color="auto" w:fill="auto"/>
            <w:vAlign w:val="center"/>
            <w:hideMark/>
          </w:tcPr>
          <w:p w14:paraId="386756E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40.0</w:t>
            </w:r>
          </w:p>
        </w:tc>
        <w:tc>
          <w:tcPr>
            <w:tcW w:w="884" w:type="dxa"/>
            <w:tcBorders>
              <w:top w:val="nil"/>
              <w:left w:val="nil"/>
              <w:bottom w:val="single" w:sz="4" w:space="0" w:color="auto"/>
              <w:right w:val="single" w:sz="4" w:space="0" w:color="auto"/>
            </w:tcBorders>
            <w:shd w:val="clear" w:color="auto" w:fill="auto"/>
            <w:vAlign w:val="center"/>
            <w:hideMark/>
          </w:tcPr>
          <w:p w14:paraId="6F7E2B3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29.9</w:t>
            </w:r>
          </w:p>
        </w:tc>
        <w:tc>
          <w:tcPr>
            <w:tcW w:w="893" w:type="dxa"/>
            <w:tcBorders>
              <w:top w:val="nil"/>
              <w:left w:val="nil"/>
              <w:bottom w:val="single" w:sz="4" w:space="0" w:color="auto"/>
              <w:right w:val="single" w:sz="4" w:space="0" w:color="auto"/>
            </w:tcBorders>
            <w:shd w:val="clear" w:color="auto" w:fill="auto"/>
            <w:vAlign w:val="center"/>
            <w:hideMark/>
          </w:tcPr>
          <w:p w14:paraId="564DDA5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28.1</w:t>
            </w:r>
          </w:p>
        </w:tc>
        <w:tc>
          <w:tcPr>
            <w:tcW w:w="1294" w:type="dxa"/>
            <w:tcBorders>
              <w:top w:val="nil"/>
              <w:left w:val="nil"/>
              <w:bottom w:val="single" w:sz="4" w:space="0" w:color="auto"/>
              <w:right w:val="single" w:sz="4" w:space="0" w:color="auto"/>
            </w:tcBorders>
            <w:shd w:val="clear" w:color="auto" w:fill="auto"/>
            <w:vAlign w:val="center"/>
            <w:hideMark/>
          </w:tcPr>
          <w:p w14:paraId="03BF10E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85611"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0C62A2B0"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2B061F5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w:t>
            </w:r>
          </w:p>
        </w:tc>
        <w:tc>
          <w:tcPr>
            <w:tcW w:w="1073" w:type="dxa"/>
            <w:tcBorders>
              <w:top w:val="nil"/>
              <w:left w:val="nil"/>
              <w:bottom w:val="single" w:sz="4" w:space="0" w:color="auto"/>
              <w:right w:val="single" w:sz="4" w:space="0" w:color="auto"/>
            </w:tcBorders>
            <w:shd w:val="clear" w:color="auto" w:fill="auto"/>
            <w:vAlign w:val="center"/>
            <w:hideMark/>
          </w:tcPr>
          <w:p w14:paraId="24EC091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438412</w:t>
            </w:r>
          </w:p>
        </w:tc>
        <w:tc>
          <w:tcPr>
            <w:tcW w:w="1183" w:type="dxa"/>
            <w:tcBorders>
              <w:top w:val="nil"/>
              <w:left w:val="nil"/>
              <w:bottom w:val="single" w:sz="4" w:space="0" w:color="auto"/>
              <w:right w:val="single" w:sz="4" w:space="0" w:color="auto"/>
            </w:tcBorders>
            <w:shd w:val="clear" w:color="auto" w:fill="auto"/>
            <w:vAlign w:val="center"/>
            <w:hideMark/>
          </w:tcPr>
          <w:p w14:paraId="0E26A19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562368</w:t>
            </w:r>
          </w:p>
        </w:tc>
        <w:tc>
          <w:tcPr>
            <w:tcW w:w="884" w:type="dxa"/>
            <w:tcBorders>
              <w:top w:val="nil"/>
              <w:left w:val="nil"/>
              <w:bottom w:val="single" w:sz="4" w:space="0" w:color="auto"/>
              <w:right w:val="single" w:sz="4" w:space="0" w:color="auto"/>
            </w:tcBorders>
            <w:shd w:val="clear" w:color="auto" w:fill="auto"/>
            <w:vAlign w:val="center"/>
            <w:hideMark/>
          </w:tcPr>
          <w:p w14:paraId="7B10C6B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26.4</w:t>
            </w:r>
          </w:p>
        </w:tc>
        <w:tc>
          <w:tcPr>
            <w:tcW w:w="884" w:type="dxa"/>
            <w:tcBorders>
              <w:top w:val="nil"/>
              <w:left w:val="nil"/>
              <w:bottom w:val="single" w:sz="4" w:space="0" w:color="auto"/>
              <w:right w:val="single" w:sz="4" w:space="0" w:color="auto"/>
            </w:tcBorders>
            <w:shd w:val="clear" w:color="auto" w:fill="auto"/>
            <w:vAlign w:val="center"/>
            <w:hideMark/>
          </w:tcPr>
          <w:p w14:paraId="4DA507B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16.5</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577D08D1" w14:textId="65D7B57C"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11.70</w:t>
            </w:r>
          </w:p>
        </w:tc>
        <w:tc>
          <w:tcPr>
            <w:tcW w:w="884" w:type="dxa"/>
            <w:tcBorders>
              <w:top w:val="nil"/>
              <w:left w:val="nil"/>
              <w:bottom w:val="single" w:sz="4" w:space="0" w:color="auto"/>
              <w:right w:val="single" w:sz="4" w:space="0" w:color="auto"/>
            </w:tcBorders>
            <w:shd w:val="clear" w:color="auto" w:fill="auto"/>
            <w:vAlign w:val="center"/>
            <w:hideMark/>
          </w:tcPr>
          <w:p w14:paraId="72C81D3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11.5</w:t>
            </w:r>
          </w:p>
        </w:tc>
        <w:tc>
          <w:tcPr>
            <w:tcW w:w="884" w:type="dxa"/>
            <w:tcBorders>
              <w:top w:val="nil"/>
              <w:left w:val="nil"/>
              <w:bottom w:val="single" w:sz="4" w:space="0" w:color="auto"/>
              <w:right w:val="single" w:sz="4" w:space="0" w:color="auto"/>
            </w:tcBorders>
            <w:shd w:val="clear" w:color="auto" w:fill="auto"/>
            <w:vAlign w:val="center"/>
            <w:hideMark/>
          </w:tcPr>
          <w:p w14:paraId="0215479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8.9</w:t>
            </w:r>
          </w:p>
        </w:tc>
        <w:tc>
          <w:tcPr>
            <w:tcW w:w="884" w:type="dxa"/>
            <w:tcBorders>
              <w:top w:val="nil"/>
              <w:left w:val="nil"/>
              <w:bottom w:val="single" w:sz="4" w:space="0" w:color="auto"/>
              <w:right w:val="single" w:sz="4" w:space="0" w:color="auto"/>
            </w:tcBorders>
            <w:shd w:val="clear" w:color="auto" w:fill="auto"/>
            <w:vAlign w:val="center"/>
            <w:hideMark/>
          </w:tcPr>
          <w:p w14:paraId="0567E3F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7DA237F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534A653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16.1</w:t>
            </w:r>
          </w:p>
        </w:tc>
        <w:tc>
          <w:tcPr>
            <w:tcW w:w="884" w:type="dxa"/>
            <w:tcBorders>
              <w:top w:val="nil"/>
              <w:left w:val="nil"/>
              <w:bottom w:val="single" w:sz="4" w:space="0" w:color="auto"/>
              <w:right w:val="single" w:sz="4" w:space="0" w:color="auto"/>
            </w:tcBorders>
            <w:shd w:val="clear" w:color="auto" w:fill="auto"/>
            <w:vAlign w:val="center"/>
            <w:hideMark/>
          </w:tcPr>
          <w:p w14:paraId="68193C1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19.7</w:t>
            </w:r>
          </w:p>
        </w:tc>
        <w:tc>
          <w:tcPr>
            <w:tcW w:w="884" w:type="dxa"/>
            <w:tcBorders>
              <w:top w:val="nil"/>
              <w:left w:val="nil"/>
              <w:bottom w:val="single" w:sz="4" w:space="0" w:color="auto"/>
              <w:right w:val="single" w:sz="4" w:space="0" w:color="auto"/>
            </w:tcBorders>
            <w:shd w:val="clear" w:color="auto" w:fill="auto"/>
            <w:vAlign w:val="center"/>
            <w:hideMark/>
          </w:tcPr>
          <w:p w14:paraId="2B23A4D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25.0</w:t>
            </w:r>
          </w:p>
        </w:tc>
        <w:tc>
          <w:tcPr>
            <w:tcW w:w="884" w:type="dxa"/>
            <w:tcBorders>
              <w:top w:val="nil"/>
              <w:left w:val="nil"/>
              <w:bottom w:val="single" w:sz="4" w:space="0" w:color="auto"/>
              <w:right w:val="single" w:sz="4" w:space="0" w:color="auto"/>
            </w:tcBorders>
            <w:shd w:val="clear" w:color="auto" w:fill="auto"/>
            <w:vAlign w:val="center"/>
            <w:hideMark/>
          </w:tcPr>
          <w:p w14:paraId="1177751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23.5</w:t>
            </w:r>
          </w:p>
        </w:tc>
        <w:tc>
          <w:tcPr>
            <w:tcW w:w="893" w:type="dxa"/>
            <w:tcBorders>
              <w:top w:val="nil"/>
              <w:left w:val="nil"/>
              <w:bottom w:val="single" w:sz="4" w:space="0" w:color="auto"/>
              <w:right w:val="single" w:sz="4" w:space="0" w:color="auto"/>
            </w:tcBorders>
            <w:shd w:val="clear" w:color="auto" w:fill="auto"/>
            <w:vAlign w:val="center"/>
            <w:hideMark/>
          </w:tcPr>
          <w:p w14:paraId="2ED3DAE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18.4</w:t>
            </w:r>
          </w:p>
        </w:tc>
        <w:tc>
          <w:tcPr>
            <w:tcW w:w="1294" w:type="dxa"/>
            <w:tcBorders>
              <w:top w:val="nil"/>
              <w:left w:val="nil"/>
              <w:bottom w:val="single" w:sz="4" w:space="0" w:color="auto"/>
              <w:right w:val="single" w:sz="4" w:space="0" w:color="auto"/>
            </w:tcBorders>
            <w:shd w:val="clear" w:color="auto" w:fill="auto"/>
            <w:vAlign w:val="center"/>
            <w:hideMark/>
          </w:tcPr>
          <w:p w14:paraId="1081D12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13.5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2451F"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77889F71"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3F07E70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DT4</w:t>
            </w:r>
          </w:p>
        </w:tc>
        <w:tc>
          <w:tcPr>
            <w:tcW w:w="1073" w:type="dxa"/>
            <w:tcBorders>
              <w:top w:val="nil"/>
              <w:left w:val="nil"/>
              <w:bottom w:val="single" w:sz="4" w:space="0" w:color="auto"/>
              <w:right w:val="single" w:sz="4" w:space="0" w:color="auto"/>
            </w:tcBorders>
            <w:shd w:val="clear" w:color="auto" w:fill="auto"/>
            <w:vAlign w:val="center"/>
            <w:hideMark/>
          </w:tcPr>
          <w:p w14:paraId="2D37782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437053</w:t>
            </w:r>
          </w:p>
        </w:tc>
        <w:tc>
          <w:tcPr>
            <w:tcW w:w="1183" w:type="dxa"/>
            <w:tcBorders>
              <w:top w:val="nil"/>
              <w:left w:val="nil"/>
              <w:bottom w:val="single" w:sz="4" w:space="0" w:color="auto"/>
              <w:right w:val="single" w:sz="4" w:space="0" w:color="auto"/>
            </w:tcBorders>
            <w:shd w:val="clear" w:color="auto" w:fill="auto"/>
            <w:vAlign w:val="center"/>
            <w:hideMark/>
          </w:tcPr>
          <w:p w14:paraId="440A0E6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561418</w:t>
            </w:r>
          </w:p>
        </w:tc>
        <w:tc>
          <w:tcPr>
            <w:tcW w:w="884" w:type="dxa"/>
            <w:tcBorders>
              <w:top w:val="nil"/>
              <w:left w:val="nil"/>
              <w:bottom w:val="single" w:sz="4" w:space="0" w:color="auto"/>
              <w:right w:val="single" w:sz="4" w:space="0" w:color="auto"/>
            </w:tcBorders>
            <w:shd w:val="clear" w:color="auto" w:fill="auto"/>
            <w:vAlign w:val="center"/>
            <w:hideMark/>
          </w:tcPr>
          <w:p w14:paraId="50D70D6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25.7</w:t>
            </w:r>
          </w:p>
        </w:tc>
        <w:tc>
          <w:tcPr>
            <w:tcW w:w="884" w:type="dxa"/>
            <w:tcBorders>
              <w:top w:val="nil"/>
              <w:left w:val="nil"/>
              <w:bottom w:val="single" w:sz="4" w:space="0" w:color="auto"/>
              <w:right w:val="single" w:sz="4" w:space="0" w:color="auto"/>
            </w:tcBorders>
            <w:shd w:val="clear" w:color="auto" w:fill="auto"/>
            <w:vAlign w:val="center"/>
            <w:hideMark/>
          </w:tcPr>
          <w:p w14:paraId="652B45D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19.2</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36AD8A78" w14:textId="628CE1E5"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11.80</w:t>
            </w:r>
          </w:p>
        </w:tc>
        <w:tc>
          <w:tcPr>
            <w:tcW w:w="884" w:type="dxa"/>
            <w:tcBorders>
              <w:top w:val="nil"/>
              <w:left w:val="nil"/>
              <w:bottom w:val="single" w:sz="4" w:space="0" w:color="auto"/>
              <w:right w:val="single" w:sz="4" w:space="0" w:color="auto"/>
            </w:tcBorders>
            <w:shd w:val="clear" w:color="auto" w:fill="auto"/>
            <w:vAlign w:val="center"/>
            <w:hideMark/>
          </w:tcPr>
          <w:p w14:paraId="3AA5F2A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10.0</w:t>
            </w:r>
          </w:p>
        </w:tc>
        <w:tc>
          <w:tcPr>
            <w:tcW w:w="884" w:type="dxa"/>
            <w:tcBorders>
              <w:top w:val="nil"/>
              <w:left w:val="nil"/>
              <w:bottom w:val="single" w:sz="4" w:space="0" w:color="auto"/>
              <w:right w:val="single" w:sz="4" w:space="0" w:color="auto"/>
            </w:tcBorders>
            <w:shd w:val="clear" w:color="auto" w:fill="auto"/>
            <w:vAlign w:val="center"/>
            <w:hideMark/>
          </w:tcPr>
          <w:p w14:paraId="0B5A374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14.0</w:t>
            </w:r>
          </w:p>
        </w:tc>
        <w:tc>
          <w:tcPr>
            <w:tcW w:w="884" w:type="dxa"/>
            <w:tcBorders>
              <w:top w:val="nil"/>
              <w:left w:val="nil"/>
              <w:bottom w:val="single" w:sz="4" w:space="0" w:color="auto"/>
              <w:right w:val="single" w:sz="4" w:space="0" w:color="auto"/>
            </w:tcBorders>
            <w:shd w:val="clear" w:color="auto" w:fill="auto"/>
            <w:vAlign w:val="center"/>
            <w:hideMark/>
          </w:tcPr>
          <w:p w14:paraId="1F074D0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11.3</w:t>
            </w:r>
          </w:p>
        </w:tc>
        <w:tc>
          <w:tcPr>
            <w:tcW w:w="884" w:type="dxa"/>
            <w:tcBorders>
              <w:top w:val="nil"/>
              <w:left w:val="nil"/>
              <w:bottom w:val="single" w:sz="4" w:space="0" w:color="auto"/>
              <w:right w:val="single" w:sz="4" w:space="0" w:color="auto"/>
            </w:tcBorders>
            <w:shd w:val="clear" w:color="auto" w:fill="auto"/>
            <w:vAlign w:val="center"/>
            <w:hideMark/>
          </w:tcPr>
          <w:p w14:paraId="7622BBC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13.0</w:t>
            </w:r>
          </w:p>
        </w:tc>
        <w:tc>
          <w:tcPr>
            <w:tcW w:w="884" w:type="dxa"/>
            <w:tcBorders>
              <w:top w:val="nil"/>
              <w:left w:val="nil"/>
              <w:bottom w:val="single" w:sz="4" w:space="0" w:color="auto"/>
              <w:right w:val="single" w:sz="4" w:space="0" w:color="auto"/>
            </w:tcBorders>
            <w:shd w:val="clear" w:color="auto" w:fill="auto"/>
            <w:vAlign w:val="center"/>
            <w:hideMark/>
          </w:tcPr>
          <w:p w14:paraId="2D8B21B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17.0</w:t>
            </w:r>
          </w:p>
        </w:tc>
        <w:tc>
          <w:tcPr>
            <w:tcW w:w="884" w:type="dxa"/>
            <w:tcBorders>
              <w:top w:val="nil"/>
              <w:left w:val="nil"/>
              <w:bottom w:val="single" w:sz="4" w:space="0" w:color="auto"/>
              <w:right w:val="single" w:sz="4" w:space="0" w:color="auto"/>
            </w:tcBorders>
            <w:shd w:val="clear" w:color="auto" w:fill="auto"/>
            <w:vAlign w:val="center"/>
            <w:hideMark/>
          </w:tcPr>
          <w:p w14:paraId="4D98D0D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7A90381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25.3</w:t>
            </w:r>
          </w:p>
        </w:tc>
        <w:tc>
          <w:tcPr>
            <w:tcW w:w="884" w:type="dxa"/>
            <w:tcBorders>
              <w:top w:val="nil"/>
              <w:left w:val="nil"/>
              <w:bottom w:val="single" w:sz="4" w:space="0" w:color="auto"/>
              <w:right w:val="single" w:sz="4" w:space="0" w:color="auto"/>
            </w:tcBorders>
            <w:shd w:val="clear" w:color="auto" w:fill="auto"/>
            <w:vAlign w:val="center"/>
            <w:hideMark/>
          </w:tcPr>
          <w:p w14:paraId="09C3E95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23.2</w:t>
            </w:r>
          </w:p>
        </w:tc>
        <w:tc>
          <w:tcPr>
            <w:tcW w:w="893" w:type="dxa"/>
            <w:tcBorders>
              <w:top w:val="nil"/>
              <w:left w:val="nil"/>
              <w:bottom w:val="single" w:sz="4" w:space="0" w:color="auto"/>
              <w:right w:val="nil"/>
            </w:tcBorders>
            <w:shd w:val="clear" w:color="auto" w:fill="auto"/>
            <w:vAlign w:val="center"/>
            <w:hideMark/>
          </w:tcPr>
          <w:p w14:paraId="3BDAE67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17.4</w:t>
            </w:r>
          </w:p>
        </w:tc>
        <w:tc>
          <w:tcPr>
            <w:tcW w:w="1294" w:type="dxa"/>
            <w:tcBorders>
              <w:top w:val="nil"/>
              <w:left w:val="single" w:sz="4" w:space="0" w:color="auto"/>
              <w:bottom w:val="single" w:sz="4" w:space="0" w:color="auto"/>
              <w:right w:val="single" w:sz="4" w:space="0" w:color="auto"/>
            </w:tcBorders>
            <w:shd w:val="clear" w:color="auto" w:fill="auto"/>
            <w:vAlign w:val="center"/>
            <w:hideMark/>
          </w:tcPr>
          <w:p w14:paraId="57C7A6B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290C5"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1C9563BA"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4F59B60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DT5</w:t>
            </w:r>
          </w:p>
        </w:tc>
        <w:tc>
          <w:tcPr>
            <w:tcW w:w="1073" w:type="dxa"/>
            <w:tcBorders>
              <w:top w:val="nil"/>
              <w:left w:val="nil"/>
              <w:bottom w:val="single" w:sz="4" w:space="0" w:color="auto"/>
              <w:right w:val="single" w:sz="4" w:space="0" w:color="auto"/>
            </w:tcBorders>
            <w:shd w:val="clear" w:color="auto" w:fill="auto"/>
            <w:vAlign w:val="center"/>
            <w:hideMark/>
          </w:tcPr>
          <w:p w14:paraId="3FA7F2E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436528</w:t>
            </w:r>
          </w:p>
        </w:tc>
        <w:tc>
          <w:tcPr>
            <w:tcW w:w="1183" w:type="dxa"/>
            <w:tcBorders>
              <w:top w:val="nil"/>
              <w:left w:val="nil"/>
              <w:bottom w:val="single" w:sz="4" w:space="0" w:color="auto"/>
              <w:right w:val="single" w:sz="4" w:space="0" w:color="auto"/>
            </w:tcBorders>
            <w:shd w:val="clear" w:color="auto" w:fill="auto"/>
            <w:vAlign w:val="center"/>
            <w:hideMark/>
          </w:tcPr>
          <w:p w14:paraId="291E0D5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561280</w:t>
            </w:r>
          </w:p>
        </w:tc>
        <w:tc>
          <w:tcPr>
            <w:tcW w:w="884" w:type="dxa"/>
            <w:tcBorders>
              <w:top w:val="nil"/>
              <w:left w:val="nil"/>
              <w:bottom w:val="single" w:sz="4" w:space="0" w:color="auto"/>
              <w:right w:val="single" w:sz="4" w:space="0" w:color="auto"/>
            </w:tcBorders>
            <w:shd w:val="clear" w:color="auto" w:fill="auto"/>
            <w:vAlign w:val="center"/>
            <w:hideMark/>
          </w:tcPr>
          <w:p w14:paraId="00F192E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29.7</w:t>
            </w:r>
          </w:p>
        </w:tc>
        <w:tc>
          <w:tcPr>
            <w:tcW w:w="884" w:type="dxa"/>
            <w:tcBorders>
              <w:top w:val="nil"/>
              <w:left w:val="nil"/>
              <w:bottom w:val="single" w:sz="4" w:space="0" w:color="auto"/>
              <w:right w:val="single" w:sz="4" w:space="0" w:color="auto"/>
            </w:tcBorders>
            <w:shd w:val="clear" w:color="auto" w:fill="auto"/>
            <w:vAlign w:val="center"/>
            <w:hideMark/>
          </w:tcPr>
          <w:p w14:paraId="4E9D5D6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19.3</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06A316B1" w14:textId="3D240E64"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12.41</w:t>
            </w:r>
          </w:p>
        </w:tc>
        <w:tc>
          <w:tcPr>
            <w:tcW w:w="884" w:type="dxa"/>
            <w:tcBorders>
              <w:top w:val="nil"/>
              <w:left w:val="nil"/>
              <w:bottom w:val="single" w:sz="4" w:space="0" w:color="auto"/>
              <w:right w:val="single" w:sz="4" w:space="0" w:color="auto"/>
            </w:tcBorders>
            <w:shd w:val="clear" w:color="auto" w:fill="auto"/>
            <w:vAlign w:val="center"/>
            <w:hideMark/>
          </w:tcPr>
          <w:p w14:paraId="39AA2E4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12.7</w:t>
            </w:r>
          </w:p>
        </w:tc>
        <w:tc>
          <w:tcPr>
            <w:tcW w:w="884" w:type="dxa"/>
            <w:tcBorders>
              <w:top w:val="nil"/>
              <w:left w:val="nil"/>
              <w:bottom w:val="single" w:sz="4" w:space="0" w:color="auto"/>
              <w:right w:val="single" w:sz="4" w:space="0" w:color="auto"/>
            </w:tcBorders>
            <w:shd w:val="clear" w:color="auto" w:fill="auto"/>
            <w:vAlign w:val="center"/>
            <w:hideMark/>
          </w:tcPr>
          <w:p w14:paraId="50BD8F6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22.8</w:t>
            </w:r>
          </w:p>
        </w:tc>
        <w:tc>
          <w:tcPr>
            <w:tcW w:w="884" w:type="dxa"/>
            <w:tcBorders>
              <w:top w:val="nil"/>
              <w:left w:val="nil"/>
              <w:bottom w:val="single" w:sz="4" w:space="0" w:color="auto"/>
              <w:right w:val="single" w:sz="4" w:space="0" w:color="auto"/>
            </w:tcBorders>
            <w:shd w:val="clear" w:color="auto" w:fill="auto"/>
            <w:vAlign w:val="center"/>
            <w:hideMark/>
          </w:tcPr>
          <w:p w14:paraId="1332BB0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16.0</w:t>
            </w:r>
          </w:p>
        </w:tc>
        <w:tc>
          <w:tcPr>
            <w:tcW w:w="884" w:type="dxa"/>
            <w:tcBorders>
              <w:top w:val="nil"/>
              <w:left w:val="nil"/>
              <w:bottom w:val="single" w:sz="4" w:space="0" w:color="auto"/>
              <w:right w:val="single" w:sz="4" w:space="0" w:color="auto"/>
            </w:tcBorders>
            <w:shd w:val="clear" w:color="auto" w:fill="auto"/>
            <w:vAlign w:val="center"/>
            <w:hideMark/>
          </w:tcPr>
          <w:p w14:paraId="1C3D00B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14.7</w:t>
            </w:r>
          </w:p>
        </w:tc>
        <w:tc>
          <w:tcPr>
            <w:tcW w:w="884" w:type="dxa"/>
            <w:tcBorders>
              <w:top w:val="nil"/>
              <w:left w:val="nil"/>
              <w:bottom w:val="single" w:sz="4" w:space="0" w:color="auto"/>
              <w:right w:val="single" w:sz="4" w:space="0" w:color="auto"/>
            </w:tcBorders>
            <w:shd w:val="clear" w:color="auto" w:fill="auto"/>
            <w:vAlign w:val="center"/>
            <w:hideMark/>
          </w:tcPr>
          <w:p w14:paraId="6B52114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21.4</w:t>
            </w:r>
          </w:p>
        </w:tc>
        <w:tc>
          <w:tcPr>
            <w:tcW w:w="884" w:type="dxa"/>
            <w:tcBorders>
              <w:top w:val="nil"/>
              <w:left w:val="nil"/>
              <w:bottom w:val="single" w:sz="4" w:space="0" w:color="auto"/>
              <w:right w:val="single" w:sz="4" w:space="0" w:color="auto"/>
            </w:tcBorders>
            <w:shd w:val="clear" w:color="auto" w:fill="auto"/>
            <w:vAlign w:val="center"/>
            <w:hideMark/>
          </w:tcPr>
          <w:p w14:paraId="466E8B1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22.3</w:t>
            </w:r>
          </w:p>
        </w:tc>
        <w:tc>
          <w:tcPr>
            <w:tcW w:w="884" w:type="dxa"/>
            <w:tcBorders>
              <w:top w:val="nil"/>
              <w:left w:val="nil"/>
              <w:bottom w:val="single" w:sz="4" w:space="0" w:color="auto"/>
              <w:right w:val="single" w:sz="4" w:space="0" w:color="auto"/>
            </w:tcBorders>
            <w:shd w:val="clear" w:color="auto" w:fill="auto"/>
            <w:vAlign w:val="center"/>
            <w:hideMark/>
          </w:tcPr>
          <w:p w14:paraId="19DBD72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29.6</w:t>
            </w:r>
          </w:p>
        </w:tc>
        <w:tc>
          <w:tcPr>
            <w:tcW w:w="884" w:type="dxa"/>
            <w:tcBorders>
              <w:top w:val="nil"/>
              <w:left w:val="nil"/>
              <w:bottom w:val="single" w:sz="4" w:space="0" w:color="auto"/>
              <w:right w:val="single" w:sz="4" w:space="0" w:color="auto"/>
            </w:tcBorders>
            <w:shd w:val="clear" w:color="auto" w:fill="auto"/>
            <w:vAlign w:val="center"/>
            <w:hideMark/>
          </w:tcPr>
          <w:p w14:paraId="21D9405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27.8</w:t>
            </w:r>
          </w:p>
        </w:tc>
        <w:tc>
          <w:tcPr>
            <w:tcW w:w="893" w:type="dxa"/>
            <w:tcBorders>
              <w:top w:val="nil"/>
              <w:left w:val="nil"/>
              <w:bottom w:val="single" w:sz="4" w:space="0" w:color="auto"/>
              <w:right w:val="single" w:sz="4" w:space="0" w:color="auto"/>
            </w:tcBorders>
            <w:shd w:val="clear" w:color="auto" w:fill="auto"/>
            <w:vAlign w:val="center"/>
            <w:hideMark/>
          </w:tcPr>
          <w:p w14:paraId="26872A2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21.3</w:t>
            </w:r>
          </w:p>
        </w:tc>
        <w:tc>
          <w:tcPr>
            <w:tcW w:w="1294" w:type="dxa"/>
            <w:tcBorders>
              <w:top w:val="nil"/>
              <w:left w:val="nil"/>
              <w:bottom w:val="single" w:sz="4" w:space="0" w:color="auto"/>
              <w:right w:val="single" w:sz="4" w:space="0" w:color="auto"/>
            </w:tcBorders>
            <w:shd w:val="clear" w:color="auto" w:fill="auto"/>
            <w:vAlign w:val="center"/>
            <w:hideMark/>
          </w:tcPr>
          <w:p w14:paraId="2A6898A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5C00D"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6D284293"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2A1FA87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DT6</w:t>
            </w:r>
          </w:p>
        </w:tc>
        <w:tc>
          <w:tcPr>
            <w:tcW w:w="1073" w:type="dxa"/>
            <w:tcBorders>
              <w:top w:val="nil"/>
              <w:left w:val="nil"/>
              <w:bottom w:val="single" w:sz="4" w:space="0" w:color="auto"/>
              <w:right w:val="single" w:sz="4" w:space="0" w:color="auto"/>
            </w:tcBorders>
            <w:shd w:val="clear" w:color="auto" w:fill="auto"/>
            <w:vAlign w:val="center"/>
            <w:hideMark/>
          </w:tcPr>
          <w:p w14:paraId="1B8ECB8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436021</w:t>
            </w:r>
          </w:p>
        </w:tc>
        <w:tc>
          <w:tcPr>
            <w:tcW w:w="1183" w:type="dxa"/>
            <w:tcBorders>
              <w:top w:val="nil"/>
              <w:left w:val="nil"/>
              <w:bottom w:val="single" w:sz="4" w:space="0" w:color="auto"/>
              <w:right w:val="single" w:sz="4" w:space="0" w:color="auto"/>
            </w:tcBorders>
            <w:shd w:val="clear" w:color="auto" w:fill="auto"/>
            <w:vAlign w:val="center"/>
            <w:hideMark/>
          </w:tcPr>
          <w:p w14:paraId="5022BBE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561368</w:t>
            </w:r>
          </w:p>
        </w:tc>
        <w:tc>
          <w:tcPr>
            <w:tcW w:w="884" w:type="dxa"/>
            <w:tcBorders>
              <w:top w:val="nil"/>
              <w:left w:val="nil"/>
              <w:bottom w:val="single" w:sz="4" w:space="0" w:color="auto"/>
              <w:right w:val="single" w:sz="4" w:space="0" w:color="auto"/>
            </w:tcBorders>
            <w:shd w:val="clear" w:color="auto" w:fill="auto"/>
            <w:vAlign w:val="center"/>
            <w:hideMark/>
          </w:tcPr>
          <w:p w14:paraId="5F8F802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37.2</w:t>
            </w:r>
          </w:p>
        </w:tc>
        <w:tc>
          <w:tcPr>
            <w:tcW w:w="884" w:type="dxa"/>
            <w:tcBorders>
              <w:top w:val="nil"/>
              <w:left w:val="nil"/>
              <w:bottom w:val="single" w:sz="4" w:space="0" w:color="auto"/>
              <w:right w:val="single" w:sz="4" w:space="0" w:color="auto"/>
            </w:tcBorders>
            <w:shd w:val="clear" w:color="auto" w:fill="auto"/>
            <w:vAlign w:val="center"/>
            <w:hideMark/>
          </w:tcPr>
          <w:p w14:paraId="1F34664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26.3</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64360220" w14:textId="24ADA0EB"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17.63</w:t>
            </w:r>
          </w:p>
        </w:tc>
        <w:tc>
          <w:tcPr>
            <w:tcW w:w="884" w:type="dxa"/>
            <w:tcBorders>
              <w:top w:val="nil"/>
              <w:left w:val="nil"/>
              <w:bottom w:val="single" w:sz="4" w:space="0" w:color="auto"/>
              <w:right w:val="single" w:sz="4" w:space="0" w:color="auto"/>
            </w:tcBorders>
            <w:shd w:val="clear" w:color="auto" w:fill="auto"/>
            <w:vAlign w:val="center"/>
            <w:hideMark/>
          </w:tcPr>
          <w:p w14:paraId="06FC732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18.3</w:t>
            </w:r>
          </w:p>
        </w:tc>
        <w:tc>
          <w:tcPr>
            <w:tcW w:w="884" w:type="dxa"/>
            <w:tcBorders>
              <w:top w:val="nil"/>
              <w:left w:val="nil"/>
              <w:bottom w:val="single" w:sz="4" w:space="0" w:color="auto"/>
              <w:right w:val="single" w:sz="4" w:space="0" w:color="auto"/>
            </w:tcBorders>
            <w:shd w:val="clear" w:color="auto" w:fill="auto"/>
            <w:vAlign w:val="center"/>
            <w:hideMark/>
          </w:tcPr>
          <w:p w14:paraId="1DDB27E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14.1</w:t>
            </w:r>
          </w:p>
        </w:tc>
        <w:tc>
          <w:tcPr>
            <w:tcW w:w="884" w:type="dxa"/>
            <w:tcBorders>
              <w:top w:val="nil"/>
              <w:left w:val="nil"/>
              <w:bottom w:val="single" w:sz="4" w:space="0" w:color="auto"/>
              <w:right w:val="single" w:sz="4" w:space="0" w:color="auto"/>
            </w:tcBorders>
            <w:shd w:val="clear" w:color="auto" w:fill="auto"/>
            <w:vAlign w:val="center"/>
            <w:hideMark/>
          </w:tcPr>
          <w:p w14:paraId="7B96258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21.7</w:t>
            </w:r>
          </w:p>
        </w:tc>
        <w:tc>
          <w:tcPr>
            <w:tcW w:w="884" w:type="dxa"/>
            <w:tcBorders>
              <w:top w:val="nil"/>
              <w:left w:val="nil"/>
              <w:bottom w:val="single" w:sz="4" w:space="0" w:color="auto"/>
              <w:right w:val="single" w:sz="4" w:space="0" w:color="auto"/>
            </w:tcBorders>
            <w:shd w:val="clear" w:color="auto" w:fill="auto"/>
            <w:vAlign w:val="center"/>
            <w:hideMark/>
          </w:tcPr>
          <w:p w14:paraId="4A2B764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23.5</w:t>
            </w:r>
          </w:p>
        </w:tc>
        <w:tc>
          <w:tcPr>
            <w:tcW w:w="884" w:type="dxa"/>
            <w:tcBorders>
              <w:top w:val="nil"/>
              <w:left w:val="nil"/>
              <w:bottom w:val="single" w:sz="4" w:space="0" w:color="auto"/>
              <w:right w:val="single" w:sz="4" w:space="0" w:color="auto"/>
            </w:tcBorders>
            <w:shd w:val="clear" w:color="auto" w:fill="auto"/>
            <w:vAlign w:val="center"/>
            <w:hideMark/>
          </w:tcPr>
          <w:p w14:paraId="006461F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32.8</w:t>
            </w:r>
          </w:p>
        </w:tc>
        <w:tc>
          <w:tcPr>
            <w:tcW w:w="884" w:type="dxa"/>
            <w:tcBorders>
              <w:top w:val="nil"/>
              <w:left w:val="nil"/>
              <w:bottom w:val="single" w:sz="4" w:space="0" w:color="auto"/>
              <w:right w:val="single" w:sz="4" w:space="0" w:color="auto"/>
            </w:tcBorders>
            <w:shd w:val="clear" w:color="auto" w:fill="auto"/>
            <w:vAlign w:val="center"/>
            <w:hideMark/>
          </w:tcPr>
          <w:p w14:paraId="260F567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29.2</w:t>
            </w:r>
          </w:p>
        </w:tc>
        <w:tc>
          <w:tcPr>
            <w:tcW w:w="884" w:type="dxa"/>
            <w:tcBorders>
              <w:top w:val="nil"/>
              <w:left w:val="nil"/>
              <w:bottom w:val="single" w:sz="4" w:space="0" w:color="auto"/>
              <w:right w:val="single" w:sz="4" w:space="0" w:color="auto"/>
            </w:tcBorders>
            <w:shd w:val="clear" w:color="auto" w:fill="auto"/>
            <w:vAlign w:val="center"/>
            <w:hideMark/>
          </w:tcPr>
          <w:p w14:paraId="3573DD6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3900C08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29.0</w:t>
            </w:r>
          </w:p>
        </w:tc>
        <w:tc>
          <w:tcPr>
            <w:tcW w:w="893" w:type="dxa"/>
            <w:tcBorders>
              <w:top w:val="nil"/>
              <w:left w:val="nil"/>
              <w:bottom w:val="single" w:sz="4" w:space="0" w:color="auto"/>
              <w:right w:val="single" w:sz="4" w:space="0" w:color="auto"/>
            </w:tcBorders>
            <w:shd w:val="clear" w:color="auto" w:fill="auto"/>
            <w:vAlign w:val="center"/>
            <w:hideMark/>
          </w:tcPr>
          <w:p w14:paraId="6CE709A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25.7</w:t>
            </w:r>
          </w:p>
        </w:tc>
        <w:tc>
          <w:tcPr>
            <w:tcW w:w="1294" w:type="dxa"/>
            <w:tcBorders>
              <w:top w:val="nil"/>
              <w:left w:val="nil"/>
              <w:bottom w:val="single" w:sz="4" w:space="0" w:color="auto"/>
              <w:right w:val="single" w:sz="4" w:space="0" w:color="auto"/>
            </w:tcBorders>
            <w:shd w:val="clear" w:color="auto" w:fill="auto"/>
            <w:vAlign w:val="center"/>
            <w:hideMark/>
          </w:tcPr>
          <w:p w14:paraId="766958B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DBF7F"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6557C37A"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3C8F00A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DT7</w:t>
            </w:r>
          </w:p>
        </w:tc>
        <w:tc>
          <w:tcPr>
            <w:tcW w:w="1073" w:type="dxa"/>
            <w:tcBorders>
              <w:top w:val="nil"/>
              <w:left w:val="nil"/>
              <w:bottom w:val="single" w:sz="4" w:space="0" w:color="auto"/>
              <w:right w:val="single" w:sz="4" w:space="0" w:color="auto"/>
            </w:tcBorders>
            <w:shd w:val="clear" w:color="auto" w:fill="auto"/>
            <w:vAlign w:val="center"/>
            <w:hideMark/>
          </w:tcPr>
          <w:p w14:paraId="55180AD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434623</w:t>
            </w:r>
          </w:p>
        </w:tc>
        <w:tc>
          <w:tcPr>
            <w:tcW w:w="1183" w:type="dxa"/>
            <w:tcBorders>
              <w:top w:val="nil"/>
              <w:left w:val="nil"/>
              <w:bottom w:val="single" w:sz="4" w:space="0" w:color="auto"/>
              <w:right w:val="single" w:sz="4" w:space="0" w:color="auto"/>
            </w:tcBorders>
            <w:shd w:val="clear" w:color="auto" w:fill="auto"/>
            <w:vAlign w:val="center"/>
            <w:hideMark/>
          </w:tcPr>
          <w:p w14:paraId="16639DB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561746</w:t>
            </w:r>
          </w:p>
        </w:tc>
        <w:tc>
          <w:tcPr>
            <w:tcW w:w="884" w:type="dxa"/>
            <w:tcBorders>
              <w:top w:val="nil"/>
              <w:left w:val="nil"/>
              <w:bottom w:val="single" w:sz="4" w:space="0" w:color="auto"/>
              <w:right w:val="single" w:sz="4" w:space="0" w:color="auto"/>
            </w:tcBorders>
            <w:shd w:val="clear" w:color="auto" w:fill="auto"/>
            <w:vAlign w:val="center"/>
            <w:hideMark/>
          </w:tcPr>
          <w:p w14:paraId="06A71CC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30.0</w:t>
            </w:r>
          </w:p>
        </w:tc>
        <w:tc>
          <w:tcPr>
            <w:tcW w:w="884" w:type="dxa"/>
            <w:tcBorders>
              <w:top w:val="nil"/>
              <w:left w:val="nil"/>
              <w:bottom w:val="single" w:sz="4" w:space="0" w:color="auto"/>
              <w:right w:val="single" w:sz="4" w:space="0" w:color="auto"/>
            </w:tcBorders>
            <w:shd w:val="clear" w:color="auto" w:fill="auto"/>
            <w:vAlign w:val="center"/>
            <w:hideMark/>
          </w:tcPr>
          <w:p w14:paraId="5407ABD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20.4</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715DE42F" w14:textId="790AFBB8"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14.33</w:t>
            </w:r>
          </w:p>
        </w:tc>
        <w:tc>
          <w:tcPr>
            <w:tcW w:w="884" w:type="dxa"/>
            <w:tcBorders>
              <w:top w:val="nil"/>
              <w:left w:val="nil"/>
              <w:bottom w:val="single" w:sz="4" w:space="0" w:color="auto"/>
              <w:right w:val="single" w:sz="4" w:space="0" w:color="auto"/>
            </w:tcBorders>
            <w:shd w:val="clear" w:color="auto" w:fill="auto"/>
            <w:vAlign w:val="center"/>
            <w:hideMark/>
          </w:tcPr>
          <w:p w14:paraId="3A07DC6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12.6</w:t>
            </w:r>
          </w:p>
        </w:tc>
        <w:tc>
          <w:tcPr>
            <w:tcW w:w="884" w:type="dxa"/>
            <w:tcBorders>
              <w:top w:val="nil"/>
              <w:left w:val="nil"/>
              <w:bottom w:val="single" w:sz="4" w:space="0" w:color="auto"/>
              <w:right w:val="single" w:sz="4" w:space="0" w:color="auto"/>
            </w:tcBorders>
            <w:shd w:val="clear" w:color="auto" w:fill="auto"/>
            <w:vAlign w:val="center"/>
            <w:hideMark/>
          </w:tcPr>
          <w:p w14:paraId="5AA03D7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50626EA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16.0</w:t>
            </w:r>
          </w:p>
        </w:tc>
        <w:tc>
          <w:tcPr>
            <w:tcW w:w="884" w:type="dxa"/>
            <w:tcBorders>
              <w:top w:val="nil"/>
              <w:left w:val="nil"/>
              <w:bottom w:val="single" w:sz="4" w:space="0" w:color="auto"/>
              <w:right w:val="single" w:sz="4" w:space="0" w:color="auto"/>
            </w:tcBorders>
            <w:shd w:val="clear" w:color="auto" w:fill="auto"/>
            <w:vAlign w:val="center"/>
            <w:hideMark/>
          </w:tcPr>
          <w:p w14:paraId="6B3B922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16.9</w:t>
            </w:r>
          </w:p>
        </w:tc>
        <w:tc>
          <w:tcPr>
            <w:tcW w:w="884" w:type="dxa"/>
            <w:tcBorders>
              <w:top w:val="nil"/>
              <w:left w:val="nil"/>
              <w:bottom w:val="single" w:sz="4" w:space="0" w:color="auto"/>
              <w:right w:val="single" w:sz="4" w:space="0" w:color="auto"/>
            </w:tcBorders>
            <w:shd w:val="clear" w:color="auto" w:fill="auto"/>
            <w:vAlign w:val="center"/>
            <w:hideMark/>
          </w:tcPr>
          <w:p w14:paraId="676380D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22.6</w:t>
            </w:r>
          </w:p>
        </w:tc>
        <w:tc>
          <w:tcPr>
            <w:tcW w:w="884" w:type="dxa"/>
            <w:tcBorders>
              <w:top w:val="nil"/>
              <w:left w:val="nil"/>
              <w:bottom w:val="single" w:sz="4" w:space="0" w:color="auto"/>
              <w:right w:val="single" w:sz="4" w:space="0" w:color="auto"/>
            </w:tcBorders>
            <w:shd w:val="clear" w:color="auto" w:fill="auto"/>
            <w:vAlign w:val="center"/>
            <w:hideMark/>
          </w:tcPr>
          <w:p w14:paraId="6F52B6C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26.3</w:t>
            </w:r>
          </w:p>
        </w:tc>
        <w:tc>
          <w:tcPr>
            <w:tcW w:w="884" w:type="dxa"/>
            <w:tcBorders>
              <w:top w:val="nil"/>
              <w:left w:val="nil"/>
              <w:bottom w:val="single" w:sz="4" w:space="0" w:color="auto"/>
              <w:right w:val="single" w:sz="4" w:space="0" w:color="auto"/>
            </w:tcBorders>
            <w:shd w:val="clear" w:color="auto" w:fill="auto"/>
            <w:vAlign w:val="center"/>
            <w:hideMark/>
          </w:tcPr>
          <w:p w14:paraId="533C02F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33.0</w:t>
            </w:r>
          </w:p>
        </w:tc>
        <w:tc>
          <w:tcPr>
            <w:tcW w:w="884" w:type="dxa"/>
            <w:tcBorders>
              <w:top w:val="nil"/>
              <w:left w:val="nil"/>
              <w:bottom w:val="single" w:sz="4" w:space="0" w:color="auto"/>
              <w:right w:val="single" w:sz="4" w:space="0" w:color="auto"/>
            </w:tcBorders>
            <w:shd w:val="clear" w:color="auto" w:fill="auto"/>
            <w:vAlign w:val="center"/>
            <w:hideMark/>
          </w:tcPr>
          <w:p w14:paraId="404A503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93" w:type="dxa"/>
            <w:tcBorders>
              <w:top w:val="nil"/>
              <w:left w:val="nil"/>
              <w:bottom w:val="single" w:sz="4" w:space="0" w:color="auto"/>
              <w:right w:val="single" w:sz="4" w:space="0" w:color="auto"/>
            </w:tcBorders>
            <w:shd w:val="clear" w:color="auto" w:fill="auto"/>
            <w:vAlign w:val="center"/>
            <w:hideMark/>
          </w:tcPr>
          <w:p w14:paraId="7DF508D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21.8</w:t>
            </w:r>
          </w:p>
        </w:tc>
        <w:tc>
          <w:tcPr>
            <w:tcW w:w="1294" w:type="dxa"/>
            <w:tcBorders>
              <w:top w:val="nil"/>
              <w:left w:val="nil"/>
              <w:bottom w:val="single" w:sz="4" w:space="0" w:color="auto"/>
              <w:right w:val="single" w:sz="4" w:space="0" w:color="auto"/>
            </w:tcBorders>
            <w:shd w:val="clear" w:color="auto" w:fill="auto"/>
            <w:vAlign w:val="center"/>
            <w:hideMark/>
          </w:tcPr>
          <w:p w14:paraId="3C60909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8007E"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5BA18DEE"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72F31A2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DT8</w:t>
            </w:r>
          </w:p>
        </w:tc>
        <w:tc>
          <w:tcPr>
            <w:tcW w:w="1073" w:type="dxa"/>
            <w:tcBorders>
              <w:top w:val="nil"/>
              <w:left w:val="nil"/>
              <w:bottom w:val="single" w:sz="4" w:space="0" w:color="auto"/>
              <w:right w:val="single" w:sz="4" w:space="0" w:color="auto"/>
            </w:tcBorders>
            <w:shd w:val="clear" w:color="auto" w:fill="auto"/>
            <w:vAlign w:val="center"/>
            <w:hideMark/>
          </w:tcPr>
          <w:p w14:paraId="733E32A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433883</w:t>
            </w:r>
          </w:p>
        </w:tc>
        <w:tc>
          <w:tcPr>
            <w:tcW w:w="1183" w:type="dxa"/>
            <w:tcBorders>
              <w:top w:val="nil"/>
              <w:left w:val="nil"/>
              <w:bottom w:val="single" w:sz="4" w:space="0" w:color="auto"/>
              <w:right w:val="single" w:sz="4" w:space="0" w:color="auto"/>
            </w:tcBorders>
            <w:shd w:val="clear" w:color="auto" w:fill="auto"/>
            <w:vAlign w:val="center"/>
            <w:hideMark/>
          </w:tcPr>
          <w:p w14:paraId="342A731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562644</w:t>
            </w:r>
          </w:p>
        </w:tc>
        <w:tc>
          <w:tcPr>
            <w:tcW w:w="884" w:type="dxa"/>
            <w:tcBorders>
              <w:top w:val="nil"/>
              <w:left w:val="nil"/>
              <w:bottom w:val="single" w:sz="4" w:space="0" w:color="auto"/>
              <w:right w:val="single" w:sz="4" w:space="0" w:color="auto"/>
            </w:tcBorders>
            <w:shd w:val="clear" w:color="auto" w:fill="auto"/>
            <w:vAlign w:val="center"/>
            <w:hideMark/>
          </w:tcPr>
          <w:p w14:paraId="5B8EBA6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23.1</w:t>
            </w:r>
          </w:p>
        </w:tc>
        <w:tc>
          <w:tcPr>
            <w:tcW w:w="884" w:type="dxa"/>
            <w:tcBorders>
              <w:top w:val="nil"/>
              <w:left w:val="nil"/>
              <w:bottom w:val="single" w:sz="4" w:space="0" w:color="auto"/>
              <w:right w:val="single" w:sz="4" w:space="0" w:color="auto"/>
            </w:tcBorders>
            <w:shd w:val="clear" w:color="auto" w:fill="auto"/>
            <w:vAlign w:val="center"/>
            <w:hideMark/>
          </w:tcPr>
          <w:p w14:paraId="0D93162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17.6</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0A83F028" w14:textId="65AC3936"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13.69</w:t>
            </w:r>
          </w:p>
        </w:tc>
        <w:tc>
          <w:tcPr>
            <w:tcW w:w="884" w:type="dxa"/>
            <w:tcBorders>
              <w:top w:val="nil"/>
              <w:left w:val="nil"/>
              <w:bottom w:val="single" w:sz="4" w:space="0" w:color="auto"/>
              <w:right w:val="single" w:sz="4" w:space="0" w:color="auto"/>
            </w:tcBorders>
            <w:shd w:val="clear" w:color="auto" w:fill="auto"/>
            <w:vAlign w:val="center"/>
            <w:hideMark/>
          </w:tcPr>
          <w:p w14:paraId="02A0D81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12.2</w:t>
            </w:r>
          </w:p>
        </w:tc>
        <w:tc>
          <w:tcPr>
            <w:tcW w:w="884" w:type="dxa"/>
            <w:tcBorders>
              <w:top w:val="nil"/>
              <w:left w:val="nil"/>
              <w:bottom w:val="single" w:sz="4" w:space="0" w:color="auto"/>
              <w:right w:val="single" w:sz="4" w:space="0" w:color="auto"/>
            </w:tcBorders>
            <w:shd w:val="clear" w:color="auto" w:fill="auto"/>
            <w:vAlign w:val="center"/>
            <w:hideMark/>
          </w:tcPr>
          <w:p w14:paraId="6F8FC97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14.2</w:t>
            </w:r>
          </w:p>
        </w:tc>
        <w:tc>
          <w:tcPr>
            <w:tcW w:w="884" w:type="dxa"/>
            <w:tcBorders>
              <w:top w:val="nil"/>
              <w:left w:val="nil"/>
              <w:bottom w:val="single" w:sz="4" w:space="0" w:color="auto"/>
              <w:right w:val="single" w:sz="4" w:space="0" w:color="auto"/>
            </w:tcBorders>
            <w:shd w:val="clear" w:color="auto" w:fill="auto"/>
            <w:vAlign w:val="center"/>
            <w:hideMark/>
          </w:tcPr>
          <w:p w14:paraId="7A30E0E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12.4</w:t>
            </w:r>
          </w:p>
        </w:tc>
        <w:tc>
          <w:tcPr>
            <w:tcW w:w="884" w:type="dxa"/>
            <w:tcBorders>
              <w:top w:val="nil"/>
              <w:left w:val="nil"/>
              <w:bottom w:val="single" w:sz="4" w:space="0" w:color="auto"/>
              <w:right w:val="single" w:sz="4" w:space="0" w:color="auto"/>
            </w:tcBorders>
            <w:shd w:val="clear" w:color="auto" w:fill="auto"/>
            <w:vAlign w:val="center"/>
            <w:hideMark/>
          </w:tcPr>
          <w:p w14:paraId="402FF1E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16.6</w:t>
            </w:r>
          </w:p>
        </w:tc>
        <w:tc>
          <w:tcPr>
            <w:tcW w:w="884" w:type="dxa"/>
            <w:tcBorders>
              <w:top w:val="nil"/>
              <w:left w:val="nil"/>
              <w:bottom w:val="single" w:sz="4" w:space="0" w:color="auto"/>
              <w:right w:val="single" w:sz="4" w:space="0" w:color="auto"/>
            </w:tcBorders>
            <w:shd w:val="clear" w:color="auto" w:fill="auto"/>
            <w:vAlign w:val="center"/>
            <w:hideMark/>
          </w:tcPr>
          <w:p w14:paraId="0A5F0C0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20.8</w:t>
            </w:r>
          </w:p>
        </w:tc>
        <w:tc>
          <w:tcPr>
            <w:tcW w:w="884" w:type="dxa"/>
            <w:tcBorders>
              <w:top w:val="nil"/>
              <w:left w:val="nil"/>
              <w:bottom w:val="single" w:sz="4" w:space="0" w:color="auto"/>
              <w:right w:val="single" w:sz="4" w:space="0" w:color="auto"/>
            </w:tcBorders>
            <w:shd w:val="clear" w:color="auto" w:fill="auto"/>
            <w:vAlign w:val="center"/>
            <w:hideMark/>
          </w:tcPr>
          <w:p w14:paraId="7B5C058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22.8</w:t>
            </w:r>
          </w:p>
        </w:tc>
        <w:tc>
          <w:tcPr>
            <w:tcW w:w="884" w:type="dxa"/>
            <w:tcBorders>
              <w:top w:val="nil"/>
              <w:left w:val="nil"/>
              <w:bottom w:val="single" w:sz="4" w:space="0" w:color="auto"/>
              <w:right w:val="single" w:sz="4" w:space="0" w:color="auto"/>
            </w:tcBorders>
            <w:shd w:val="clear" w:color="auto" w:fill="auto"/>
            <w:vAlign w:val="center"/>
            <w:hideMark/>
          </w:tcPr>
          <w:p w14:paraId="144C3E3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26.6</w:t>
            </w:r>
          </w:p>
        </w:tc>
        <w:tc>
          <w:tcPr>
            <w:tcW w:w="884" w:type="dxa"/>
            <w:tcBorders>
              <w:top w:val="nil"/>
              <w:left w:val="nil"/>
              <w:bottom w:val="single" w:sz="4" w:space="0" w:color="auto"/>
              <w:right w:val="single" w:sz="4" w:space="0" w:color="auto"/>
            </w:tcBorders>
            <w:shd w:val="clear" w:color="auto" w:fill="auto"/>
            <w:vAlign w:val="center"/>
            <w:hideMark/>
          </w:tcPr>
          <w:p w14:paraId="4BFAC24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26.4</w:t>
            </w:r>
          </w:p>
        </w:tc>
        <w:tc>
          <w:tcPr>
            <w:tcW w:w="893" w:type="dxa"/>
            <w:tcBorders>
              <w:top w:val="nil"/>
              <w:left w:val="nil"/>
              <w:bottom w:val="single" w:sz="4" w:space="0" w:color="auto"/>
              <w:right w:val="single" w:sz="4" w:space="0" w:color="auto"/>
            </w:tcBorders>
            <w:shd w:val="clear" w:color="auto" w:fill="auto"/>
            <w:vAlign w:val="center"/>
            <w:hideMark/>
          </w:tcPr>
          <w:p w14:paraId="6DFC0DE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19.1</w:t>
            </w:r>
          </w:p>
        </w:tc>
        <w:tc>
          <w:tcPr>
            <w:tcW w:w="1294" w:type="dxa"/>
            <w:tcBorders>
              <w:top w:val="nil"/>
              <w:left w:val="nil"/>
              <w:bottom w:val="single" w:sz="4" w:space="0" w:color="auto"/>
              <w:right w:val="single" w:sz="4" w:space="0" w:color="auto"/>
            </w:tcBorders>
            <w:shd w:val="clear" w:color="auto" w:fill="auto"/>
            <w:vAlign w:val="center"/>
            <w:hideMark/>
          </w:tcPr>
          <w:p w14:paraId="79AD8D1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B6EAD"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65645C98"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5FCECE4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DT9</w:t>
            </w:r>
          </w:p>
        </w:tc>
        <w:tc>
          <w:tcPr>
            <w:tcW w:w="1073" w:type="dxa"/>
            <w:tcBorders>
              <w:top w:val="nil"/>
              <w:left w:val="nil"/>
              <w:bottom w:val="single" w:sz="4" w:space="0" w:color="auto"/>
              <w:right w:val="single" w:sz="4" w:space="0" w:color="auto"/>
            </w:tcBorders>
            <w:shd w:val="clear" w:color="auto" w:fill="auto"/>
            <w:vAlign w:val="center"/>
            <w:hideMark/>
          </w:tcPr>
          <w:p w14:paraId="1BCD874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433739</w:t>
            </w:r>
          </w:p>
        </w:tc>
        <w:tc>
          <w:tcPr>
            <w:tcW w:w="1183" w:type="dxa"/>
            <w:tcBorders>
              <w:top w:val="nil"/>
              <w:left w:val="nil"/>
              <w:bottom w:val="single" w:sz="4" w:space="0" w:color="auto"/>
              <w:right w:val="single" w:sz="4" w:space="0" w:color="auto"/>
            </w:tcBorders>
            <w:shd w:val="clear" w:color="auto" w:fill="auto"/>
            <w:vAlign w:val="center"/>
            <w:hideMark/>
          </w:tcPr>
          <w:p w14:paraId="36CBEC8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562070</w:t>
            </w:r>
          </w:p>
        </w:tc>
        <w:tc>
          <w:tcPr>
            <w:tcW w:w="884" w:type="dxa"/>
            <w:tcBorders>
              <w:top w:val="nil"/>
              <w:left w:val="nil"/>
              <w:bottom w:val="single" w:sz="4" w:space="0" w:color="auto"/>
              <w:right w:val="single" w:sz="4" w:space="0" w:color="auto"/>
            </w:tcBorders>
            <w:shd w:val="clear" w:color="auto" w:fill="auto"/>
            <w:vAlign w:val="center"/>
            <w:hideMark/>
          </w:tcPr>
          <w:p w14:paraId="483D342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20.9</w:t>
            </w:r>
          </w:p>
        </w:tc>
        <w:tc>
          <w:tcPr>
            <w:tcW w:w="884" w:type="dxa"/>
            <w:tcBorders>
              <w:top w:val="nil"/>
              <w:left w:val="nil"/>
              <w:bottom w:val="single" w:sz="4" w:space="0" w:color="auto"/>
              <w:right w:val="single" w:sz="4" w:space="0" w:color="auto"/>
            </w:tcBorders>
            <w:shd w:val="clear" w:color="auto" w:fill="auto"/>
            <w:vAlign w:val="center"/>
            <w:hideMark/>
          </w:tcPr>
          <w:p w14:paraId="6F05CE5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14.9</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593977E7" w14:textId="12A79BD2"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11.41</w:t>
            </w:r>
          </w:p>
        </w:tc>
        <w:tc>
          <w:tcPr>
            <w:tcW w:w="884" w:type="dxa"/>
            <w:tcBorders>
              <w:top w:val="nil"/>
              <w:left w:val="nil"/>
              <w:bottom w:val="single" w:sz="4" w:space="0" w:color="auto"/>
              <w:right w:val="single" w:sz="4" w:space="0" w:color="auto"/>
            </w:tcBorders>
            <w:shd w:val="clear" w:color="auto" w:fill="auto"/>
            <w:vAlign w:val="center"/>
            <w:hideMark/>
          </w:tcPr>
          <w:p w14:paraId="0CB9AD2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4A33F7D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46B81B6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8.8</w:t>
            </w:r>
          </w:p>
        </w:tc>
        <w:tc>
          <w:tcPr>
            <w:tcW w:w="884" w:type="dxa"/>
            <w:tcBorders>
              <w:top w:val="nil"/>
              <w:left w:val="nil"/>
              <w:bottom w:val="single" w:sz="4" w:space="0" w:color="auto"/>
              <w:right w:val="single" w:sz="4" w:space="0" w:color="auto"/>
            </w:tcBorders>
            <w:shd w:val="clear" w:color="auto" w:fill="auto"/>
            <w:vAlign w:val="center"/>
            <w:hideMark/>
          </w:tcPr>
          <w:p w14:paraId="1FFFCA2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32FC346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17.7</w:t>
            </w:r>
          </w:p>
        </w:tc>
        <w:tc>
          <w:tcPr>
            <w:tcW w:w="884" w:type="dxa"/>
            <w:tcBorders>
              <w:top w:val="nil"/>
              <w:left w:val="nil"/>
              <w:bottom w:val="single" w:sz="4" w:space="0" w:color="auto"/>
              <w:right w:val="single" w:sz="4" w:space="0" w:color="auto"/>
            </w:tcBorders>
            <w:shd w:val="clear" w:color="auto" w:fill="auto"/>
            <w:vAlign w:val="center"/>
            <w:hideMark/>
          </w:tcPr>
          <w:p w14:paraId="107350A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20.4</w:t>
            </w:r>
          </w:p>
        </w:tc>
        <w:tc>
          <w:tcPr>
            <w:tcW w:w="884" w:type="dxa"/>
            <w:tcBorders>
              <w:top w:val="nil"/>
              <w:left w:val="nil"/>
              <w:bottom w:val="single" w:sz="4" w:space="0" w:color="auto"/>
              <w:right w:val="single" w:sz="4" w:space="0" w:color="auto"/>
            </w:tcBorders>
            <w:shd w:val="clear" w:color="auto" w:fill="auto"/>
            <w:vAlign w:val="center"/>
            <w:hideMark/>
          </w:tcPr>
          <w:p w14:paraId="32E8D19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21.3</w:t>
            </w:r>
          </w:p>
        </w:tc>
        <w:tc>
          <w:tcPr>
            <w:tcW w:w="884" w:type="dxa"/>
            <w:tcBorders>
              <w:top w:val="nil"/>
              <w:left w:val="nil"/>
              <w:bottom w:val="single" w:sz="4" w:space="0" w:color="auto"/>
              <w:right w:val="single" w:sz="4" w:space="0" w:color="auto"/>
            </w:tcBorders>
            <w:shd w:val="clear" w:color="auto" w:fill="auto"/>
            <w:vAlign w:val="center"/>
            <w:hideMark/>
          </w:tcPr>
          <w:p w14:paraId="28BE0C1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24.8</w:t>
            </w:r>
          </w:p>
        </w:tc>
        <w:tc>
          <w:tcPr>
            <w:tcW w:w="893" w:type="dxa"/>
            <w:tcBorders>
              <w:top w:val="nil"/>
              <w:left w:val="nil"/>
              <w:bottom w:val="single" w:sz="4" w:space="0" w:color="auto"/>
              <w:right w:val="single" w:sz="4" w:space="0" w:color="auto"/>
            </w:tcBorders>
            <w:shd w:val="clear" w:color="auto" w:fill="auto"/>
            <w:vAlign w:val="center"/>
            <w:hideMark/>
          </w:tcPr>
          <w:p w14:paraId="1DE28D9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18.3</w:t>
            </w:r>
          </w:p>
        </w:tc>
        <w:tc>
          <w:tcPr>
            <w:tcW w:w="1294" w:type="dxa"/>
            <w:tcBorders>
              <w:top w:val="nil"/>
              <w:left w:val="nil"/>
              <w:bottom w:val="single" w:sz="4" w:space="0" w:color="auto"/>
              <w:right w:val="single" w:sz="4" w:space="0" w:color="auto"/>
            </w:tcBorders>
            <w:shd w:val="clear" w:color="auto" w:fill="auto"/>
            <w:vAlign w:val="center"/>
            <w:hideMark/>
          </w:tcPr>
          <w:p w14:paraId="175EE5C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12.7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0AEF3"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53A5022D"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5641158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DT10</w:t>
            </w:r>
          </w:p>
        </w:tc>
        <w:tc>
          <w:tcPr>
            <w:tcW w:w="1073" w:type="dxa"/>
            <w:tcBorders>
              <w:top w:val="nil"/>
              <w:left w:val="nil"/>
              <w:bottom w:val="single" w:sz="4" w:space="0" w:color="auto"/>
              <w:right w:val="single" w:sz="4" w:space="0" w:color="auto"/>
            </w:tcBorders>
            <w:shd w:val="clear" w:color="auto" w:fill="auto"/>
            <w:vAlign w:val="center"/>
            <w:hideMark/>
          </w:tcPr>
          <w:p w14:paraId="19E39B8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430489</w:t>
            </w:r>
          </w:p>
        </w:tc>
        <w:tc>
          <w:tcPr>
            <w:tcW w:w="1183" w:type="dxa"/>
            <w:tcBorders>
              <w:top w:val="nil"/>
              <w:left w:val="nil"/>
              <w:bottom w:val="single" w:sz="4" w:space="0" w:color="auto"/>
              <w:right w:val="single" w:sz="4" w:space="0" w:color="auto"/>
            </w:tcBorders>
            <w:shd w:val="clear" w:color="auto" w:fill="auto"/>
            <w:vAlign w:val="center"/>
            <w:hideMark/>
          </w:tcPr>
          <w:p w14:paraId="4BD19E4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563058</w:t>
            </w:r>
          </w:p>
        </w:tc>
        <w:tc>
          <w:tcPr>
            <w:tcW w:w="884" w:type="dxa"/>
            <w:tcBorders>
              <w:top w:val="nil"/>
              <w:left w:val="nil"/>
              <w:bottom w:val="single" w:sz="4" w:space="0" w:color="auto"/>
              <w:right w:val="single" w:sz="4" w:space="0" w:color="auto"/>
            </w:tcBorders>
            <w:shd w:val="clear" w:color="auto" w:fill="auto"/>
            <w:vAlign w:val="center"/>
            <w:hideMark/>
          </w:tcPr>
          <w:p w14:paraId="43B29BC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32.1</w:t>
            </w:r>
          </w:p>
        </w:tc>
        <w:tc>
          <w:tcPr>
            <w:tcW w:w="884" w:type="dxa"/>
            <w:tcBorders>
              <w:top w:val="nil"/>
              <w:left w:val="nil"/>
              <w:bottom w:val="single" w:sz="4" w:space="0" w:color="auto"/>
              <w:right w:val="single" w:sz="4" w:space="0" w:color="auto"/>
            </w:tcBorders>
            <w:shd w:val="clear" w:color="auto" w:fill="auto"/>
            <w:vAlign w:val="center"/>
            <w:hideMark/>
          </w:tcPr>
          <w:p w14:paraId="361011A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19.9</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03BD502B" w14:textId="11715970"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15.45</w:t>
            </w:r>
          </w:p>
        </w:tc>
        <w:tc>
          <w:tcPr>
            <w:tcW w:w="884" w:type="dxa"/>
            <w:tcBorders>
              <w:top w:val="nil"/>
              <w:left w:val="nil"/>
              <w:bottom w:val="single" w:sz="4" w:space="0" w:color="auto"/>
              <w:right w:val="single" w:sz="4" w:space="0" w:color="auto"/>
            </w:tcBorders>
            <w:shd w:val="clear" w:color="auto" w:fill="auto"/>
            <w:vAlign w:val="center"/>
            <w:hideMark/>
          </w:tcPr>
          <w:p w14:paraId="10B934F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16.4</w:t>
            </w:r>
          </w:p>
        </w:tc>
        <w:tc>
          <w:tcPr>
            <w:tcW w:w="884" w:type="dxa"/>
            <w:tcBorders>
              <w:top w:val="nil"/>
              <w:left w:val="nil"/>
              <w:bottom w:val="single" w:sz="4" w:space="0" w:color="auto"/>
              <w:right w:val="single" w:sz="4" w:space="0" w:color="auto"/>
            </w:tcBorders>
            <w:shd w:val="clear" w:color="auto" w:fill="auto"/>
            <w:vAlign w:val="center"/>
            <w:hideMark/>
          </w:tcPr>
          <w:p w14:paraId="2C31120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20.3</w:t>
            </w:r>
          </w:p>
        </w:tc>
        <w:tc>
          <w:tcPr>
            <w:tcW w:w="884" w:type="dxa"/>
            <w:tcBorders>
              <w:top w:val="nil"/>
              <w:left w:val="nil"/>
              <w:bottom w:val="single" w:sz="4" w:space="0" w:color="auto"/>
              <w:right w:val="single" w:sz="4" w:space="0" w:color="auto"/>
            </w:tcBorders>
            <w:shd w:val="clear" w:color="auto" w:fill="auto"/>
            <w:vAlign w:val="center"/>
            <w:hideMark/>
          </w:tcPr>
          <w:p w14:paraId="718CDEB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18.1</w:t>
            </w:r>
          </w:p>
        </w:tc>
        <w:tc>
          <w:tcPr>
            <w:tcW w:w="884" w:type="dxa"/>
            <w:tcBorders>
              <w:top w:val="nil"/>
              <w:left w:val="nil"/>
              <w:bottom w:val="single" w:sz="4" w:space="0" w:color="auto"/>
              <w:right w:val="single" w:sz="4" w:space="0" w:color="auto"/>
            </w:tcBorders>
            <w:shd w:val="clear" w:color="auto" w:fill="auto"/>
            <w:vAlign w:val="center"/>
            <w:hideMark/>
          </w:tcPr>
          <w:p w14:paraId="44492CA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23.0</w:t>
            </w:r>
          </w:p>
        </w:tc>
        <w:tc>
          <w:tcPr>
            <w:tcW w:w="884" w:type="dxa"/>
            <w:tcBorders>
              <w:top w:val="nil"/>
              <w:left w:val="nil"/>
              <w:bottom w:val="single" w:sz="4" w:space="0" w:color="auto"/>
              <w:right w:val="single" w:sz="4" w:space="0" w:color="auto"/>
            </w:tcBorders>
            <w:shd w:val="clear" w:color="auto" w:fill="auto"/>
            <w:vAlign w:val="center"/>
            <w:hideMark/>
          </w:tcPr>
          <w:p w14:paraId="4644088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26.2</w:t>
            </w:r>
          </w:p>
        </w:tc>
        <w:tc>
          <w:tcPr>
            <w:tcW w:w="884" w:type="dxa"/>
            <w:tcBorders>
              <w:top w:val="nil"/>
              <w:left w:val="nil"/>
              <w:bottom w:val="single" w:sz="4" w:space="0" w:color="auto"/>
              <w:right w:val="single" w:sz="4" w:space="0" w:color="auto"/>
            </w:tcBorders>
            <w:shd w:val="clear" w:color="auto" w:fill="auto"/>
            <w:vAlign w:val="center"/>
            <w:hideMark/>
          </w:tcPr>
          <w:p w14:paraId="3B07B31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27.8</w:t>
            </w:r>
          </w:p>
        </w:tc>
        <w:tc>
          <w:tcPr>
            <w:tcW w:w="884" w:type="dxa"/>
            <w:tcBorders>
              <w:top w:val="nil"/>
              <w:left w:val="nil"/>
              <w:bottom w:val="single" w:sz="4" w:space="0" w:color="auto"/>
              <w:right w:val="single" w:sz="4" w:space="0" w:color="auto"/>
            </w:tcBorders>
            <w:shd w:val="clear" w:color="auto" w:fill="auto"/>
            <w:vAlign w:val="center"/>
            <w:hideMark/>
          </w:tcPr>
          <w:p w14:paraId="316DDB2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32.3</w:t>
            </w:r>
          </w:p>
        </w:tc>
        <w:tc>
          <w:tcPr>
            <w:tcW w:w="884" w:type="dxa"/>
            <w:tcBorders>
              <w:top w:val="nil"/>
              <w:left w:val="nil"/>
              <w:bottom w:val="single" w:sz="4" w:space="0" w:color="auto"/>
              <w:right w:val="single" w:sz="4" w:space="0" w:color="auto"/>
            </w:tcBorders>
            <w:shd w:val="clear" w:color="auto" w:fill="auto"/>
            <w:vAlign w:val="center"/>
            <w:hideMark/>
          </w:tcPr>
          <w:p w14:paraId="5E7D860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31.9</w:t>
            </w:r>
          </w:p>
        </w:tc>
        <w:tc>
          <w:tcPr>
            <w:tcW w:w="893" w:type="dxa"/>
            <w:tcBorders>
              <w:top w:val="nil"/>
              <w:left w:val="nil"/>
              <w:bottom w:val="single" w:sz="4" w:space="0" w:color="auto"/>
              <w:right w:val="single" w:sz="4" w:space="0" w:color="auto"/>
            </w:tcBorders>
            <w:shd w:val="clear" w:color="auto" w:fill="auto"/>
            <w:vAlign w:val="center"/>
            <w:hideMark/>
          </w:tcPr>
          <w:p w14:paraId="108B244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24.6</w:t>
            </w:r>
          </w:p>
        </w:tc>
        <w:tc>
          <w:tcPr>
            <w:tcW w:w="1294" w:type="dxa"/>
            <w:tcBorders>
              <w:top w:val="nil"/>
              <w:left w:val="nil"/>
              <w:bottom w:val="single" w:sz="4" w:space="0" w:color="auto"/>
              <w:right w:val="single" w:sz="4" w:space="0" w:color="auto"/>
            </w:tcBorders>
            <w:shd w:val="clear" w:color="auto" w:fill="auto"/>
            <w:vAlign w:val="center"/>
            <w:hideMark/>
          </w:tcPr>
          <w:p w14:paraId="44FC06B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B9B64"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76A9B3AB"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7C5150A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DT11</w:t>
            </w:r>
          </w:p>
        </w:tc>
        <w:tc>
          <w:tcPr>
            <w:tcW w:w="1073" w:type="dxa"/>
            <w:tcBorders>
              <w:top w:val="nil"/>
              <w:left w:val="nil"/>
              <w:bottom w:val="single" w:sz="4" w:space="0" w:color="auto"/>
              <w:right w:val="single" w:sz="4" w:space="0" w:color="auto"/>
            </w:tcBorders>
            <w:shd w:val="clear" w:color="auto" w:fill="auto"/>
            <w:vAlign w:val="center"/>
            <w:hideMark/>
          </w:tcPr>
          <w:p w14:paraId="56914FB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430540</w:t>
            </w:r>
          </w:p>
        </w:tc>
        <w:tc>
          <w:tcPr>
            <w:tcW w:w="1183" w:type="dxa"/>
            <w:tcBorders>
              <w:top w:val="nil"/>
              <w:left w:val="nil"/>
              <w:bottom w:val="single" w:sz="4" w:space="0" w:color="auto"/>
              <w:right w:val="single" w:sz="4" w:space="0" w:color="auto"/>
            </w:tcBorders>
            <w:shd w:val="clear" w:color="auto" w:fill="auto"/>
            <w:vAlign w:val="center"/>
            <w:hideMark/>
          </w:tcPr>
          <w:p w14:paraId="1FAB3EE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563425</w:t>
            </w:r>
          </w:p>
        </w:tc>
        <w:tc>
          <w:tcPr>
            <w:tcW w:w="884" w:type="dxa"/>
            <w:tcBorders>
              <w:top w:val="nil"/>
              <w:left w:val="nil"/>
              <w:bottom w:val="single" w:sz="4" w:space="0" w:color="auto"/>
              <w:right w:val="single" w:sz="4" w:space="0" w:color="auto"/>
            </w:tcBorders>
            <w:shd w:val="clear" w:color="auto" w:fill="auto"/>
            <w:vAlign w:val="center"/>
            <w:hideMark/>
          </w:tcPr>
          <w:p w14:paraId="0798D23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30.4</w:t>
            </w:r>
          </w:p>
        </w:tc>
        <w:tc>
          <w:tcPr>
            <w:tcW w:w="884" w:type="dxa"/>
            <w:tcBorders>
              <w:top w:val="nil"/>
              <w:left w:val="nil"/>
              <w:bottom w:val="single" w:sz="4" w:space="0" w:color="auto"/>
              <w:right w:val="single" w:sz="4" w:space="0" w:color="auto"/>
            </w:tcBorders>
            <w:shd w:val="clear" w:color="auto" w:fill="auto"/>
            <w:vAlign w:val="center"/>
            <w:hideMark/>
          </w:tcPr>
          <w:p w14:paraId="0CC5B84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17.1</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451DBA95" w14:textId="4480D6C8" w:rsidR="00FF3EE6" w:rsidRPr="00FF3EE6" w:rsidRDefault="00FF3EE6" w:rsidP="00FF3EE6">
            <w:pPr>
              <w:spacing w:before="0" w:after="0" w:line="240" w:lineRule="auto"/>
              <w:jc w:val="center"/>
              <w:rPr>
                <w:rFonts w:eastAsia="Times New Roman" w:cs="Arial"/>
                <w:b/>
                <w:bCs/>
                <w:color w:val="FF0000"/>
                <w:sz w:val="20"/>
                <w:szCs w:val="20"/>
                <w:lang w:eastAsia="en-GB"/>
              </w:rPr>
            </w:pPr>
          </w:p>
        </w:tc>
        <w:tc>
          <w:tcPr>
            <w:tcW w:w="884" w:type="dxa"/>
            <w:tcBorders>
              <w:top w:val="nil"/>
              <w:left w:val="nil"/>
              <w:bottom w:val="single" w:sz="4" w:space="0" w:color="auto"/>
              <w:right w:val="single" w:sz="4" w:space="0" w:color="auto"/>
            </w:tcBorders>
            <w:shd w:val="clear" w:color="auto" w:fill="auto"/>
            <w:vAlign w:val="center"/>
            <w:hideMark/>
          </w:tcPr>
          <w:p w14:paraId="208BBEB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2C1F80F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4FA3567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483867F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36FA82E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20.5</w:t>
            </w:r>
          </w:p>
        </w:tc>
        <w:tc>
          <w:tcPr>
            <w:tcW w:w="884" w:type="dxa"/>
            <w:tcBorders>
              <w:top w:val="nil"/>
              <w:left w:val="nil"/>
              <w:bottom w:val="single" w:sz="4" w:space="0" w:color="auto"/>
              <w:right w:val="single" w:sz="4" w:space="0" w:color="auto"/>
            </w:tcBorders>
            <w:shd w:val="clear" w:color="auto" w:fill="auto"/>
            <w:vAlign w:val="center"/>
            <w:hideMark/>
          </w:tcPr>
          <w:p w14:paraId="437C5C3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24.3</w:t>
            </w:r>
          </w:p>
        </w:tc>
        <w:tc>
          <w:tcPr>
            <w:tcW w:w="884" w:type="dxa"/>
            <w:tcBorders>
              <w:top w:val="nil"/>
              <w:left w:val="nil"/>
              <w:bottom w:val="single" w:sz="4" w:space="0" w:color="auto"/>
              <w:right w:val="single" w:sz="4" w:space="0" w:color="auto"/>
            </w:tcBorders>
            <w:shd w:val="clear" w:color="auto" w:fill="auto"/>
            <w:vAlign w:val="center"/>
            <w:hideMark/>
          </w:tcPr>
          <w:p w14:paraId="14E984D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28.0</w:t>
            </w:r>
          </w:p>
        </w:tc>
        <w:tc>
          <w:tcPr>
            <w:tcW w:w="884" w:type="dxa"/>
            <w:tcBorders>
              <w:top w:val="nil"/>
              <w:left w:val="nil"/>
              <w:bottom w:val="single" w:sz="4" w:space="0" w:color="auto"/>
              <w:right w:val="single" w:sz="4" w:space="0" w:color="auto"/>
            </w:tcBorders>
            <w:shd w:val="clear" w:color="auto" w:fill="auto"/>
            <w:vAlign w:val="center"/>
            <w:hideMark/>
          </w:tcPr>
          <w:p w14:paraId="5D99F90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22.2</w:t>
            </w:r>
          </w:p>
        </w:tc>
        <w:tc>
          <w:tcPr>
            <w:tcW w:w="893" w:type="dxa"/>
            <w:tcBorders>
              <w:top w:val="nil"/>
              <w:left w:val="nil"/>
              <w:bottom w:val="single" w:sz="4" w:space="0" w:color="auto"/>
              <w:right w:val="single" w:sz="4" w:space="0" w:color="auto"/>
            </w:tcBorders>
            <w:shd w:val="clear" w:color="auto" w:fill="auto"/>
            <w:vAlign w:val="center"/>
            <w:hideMark/>
          </w:tcPr>
          <w:p w14:paraId="76F47CD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23.5</w:t>
            </w:r>
          </w:p>
        </w:tc>
        <w:tc>
          <w:tcPr>
            <w:tcW w:w="1294" w:type="dxa"/>
            <w:tcBorders>
              <w:top w:val="nil"/>
              <w:left w:val="nil"/>
              <w:bottom w:val="single" w:sz="4" w:space="0" w:color="auto"/>
              <w:right w:val="single" w:sz="4" w:space="0" w:color="auto"/>
            </w:tcBorders>
            <w:shd w:val="clear" w:color="auto" w:fill="auto"/>
            <w:vAlign w:val="center"/>
            <w:hideMark/>
          </w:tcPr>
          <w:p w14:paraId="1C65BCB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48688"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35EACA9D"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675EA40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DT12</w:t>
            </w:r>
          </w:p>
        </w:tc>
        <w:tc>
          <w:tcPr>
            <w:tcW w:w="1073" w:type="dxa"/>
            <w:tcBorders>
              <w:top w:val="nil"/>
              <w:left w:val="nil"/>
              <w:bottom w:val="single" w:sz="4" w:space="0" w:color="auto"/>
              <w:right w:val="single" w:sz="4" w:space="0" w:color="auto"/>
            </w:tcBorders>
            <w:shd w:val="clear" w:color="auto" w:fill="auto"/>
            <w:vAlign w:val="center"/>
            <w:hideMark/>
          </w:tcPr>
          <w:p w14:paraId="34C7729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430582</w:t>
            </w:r>
          </w:p>
        </w:tc>
        <w:tc>
          <w:tcPr>
            <w:tcW w:w="1183" w:type="dxa"/>
            <w:tcBorders>
              <w:top w:val="nil"/>
              <w:left w:val="nil"/>
              <w:bottom w:val="single" w:sz="4" w:space="0" w:color="auto"/>
              <w:right w:val="single" w:sz="4" w:space="0" w:color="auto"/>
            </w:tcBorders>
            <w:shd w:val="clear" w:color="auto" w:fill="auto"/>
            <w:vAlign w:val="center"/>
            <w:hideMark/>
          </w:tcPr>
          <w:p w14:paraId="6283E0B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563663</w:t>
            </w:r>
          </w:p>
        </w:tc>
        <w:tc>
          <w:tcPr>
            <w:tcW w:w="884" w:type="dxa"/>
            <w:tcBorders>
              <w:top w:val="nil"/>
              <w:left w:val="nil"/>
              <w:bottom w:val="single" w:sz="4" w:space="0" w:color="auto"/>
              <w:right w:val="single" w:sz="4" w:space="0" w:color="auto"/>
            </w:tcBorders>
            <w:shd w:val="clear" w:color="auto" w:fill="auto"/>
            <w:vAlign w:val="center"/>
            <w:hideMark/>
          </w:tcPr>
          <w:p w14:paraId="7850F93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24.4</w:t>
            </w:r>
          </w:p>
        </w:tc>
        <w:tc>
          <w:tcPr>
            <w:tcW w:w="884" w:type="dxa"/>
            <w:tcBorders>
              <w:top w:val="nil"/>
              <w:left w:val="nil"/>
              <w:bottom w:val="single" w:sz="4" w:space="0" w:color="auto"/>
              <w:right w:val="single" w:sz="4" w:space="0" w:color="auto"/>
            </w:tcBorders>
            <w:shd w:val="clear" w:color="auto" w:fill="auto"/>
            <w:vAlign w:val="center"/>
            <w:hideMark/>
          </w:tcPr>
          <w:p w14:paraId="55749A6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5EF90B76" w14:textId="685BCEA6"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21.53</w:t>
            </w:r>
          </w:p>
        </w:tc>
        <w:tc>
          <w:tcPr>
            <w:tcW w:w="884" w:type="dxa"/>
            <w:tcBorders>
              <w:top w:val="nil"/>
              <w:left w:val="nil"/>
              <w:bottom w:val="single" w:sz="4" w:space="0" w:color="auto"/>
              <w:right w:val="single" w:sz="4" w:space="0" w:color="auto"/>
            </w:tcBorders>
            <w:shd w:val="clear" w:color="auto" w:fill="auto"/>
            <w:vAlign w:val="center"/>
            <w:hideMark/>
          </w:tcPr>
          <w:p w14:paraId="13398BE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10.7</w:t>
            </w:r>
          </w:p>
        </w:tc>
        <w:tc>
          <w:tcPr>
            <w:tcW w:w="884" w:type="dxa"/>
            <w:tcBorders>
              <w:top w:val="nil"/>
              <w:left w:val="nil"/>
              <w:bottom w:val="single" w:sz="4" w:space="0" w:color="auto"/>
              <w:right w:val="single" w:sz="4" w:space="0" w:color="auto"/>
            </w:tcBorders>
            <w:shd w:val="clear" w:color="auto" w:fill="auto"/>
            <w:vAlign w:val="center"/>
            <w:hideMark/>
          </w:tcPr>
          <w:p w14:paraId="21B8F53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14.7</w:t>
            </w:r>
          </w:p>
        </w:tc>
        <w:tc>
          <w:tcPr>
            <w:tcW w:w="884" w:type="dxa"/>
            <w:tcBorders>
              <w:top w:val="nil"/>
              <w:left w:val="nil"/>
              <w:bottom w:val="single" w:sz="4" w:space="0" w:color="auto"/>
              <w:right w:val="single" w:sz="4" w:space="0" w:color="auto"/>
            </w:tcBorders>
            <w:shd w:val="clear" w:color="auto" w:fill="auto"/>
            <w:vAlign w:val="center"/>
            <w:hideMark/>
          </w:tcPr>
          <w:p w14:paraId="4FA2E4D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12.1</w:t>
            </w:r>
          </w:p>
        </w:tc>
        <w:tc>
          <w:tcPr>
            <w:tcW w:w="884" w:type="dxa"/>
            <w:tcBorders>
              <w:top w:val="nil"/>
              <w:left w:val="nil"/>
              <w:bottom w:val="single" w:sz="4" w:space="0" w:color="auto"/>
              <w:right w:val="single" w:sz="4" w:space="0" w:color="auto"/>
            </w:tcBorders>
            <w:shd w:val="clear" w:color="auto" w:fill="auto"/>
            <w:vAlign w:val="center"/>
            <w:hideMark/>
          </w:tcPr>
          <w:p w14:paraId="3732D57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16.3</w:t>
            </w:r>
          </w:p>
        </w:tc>
        <w:tc>
          <w:tcPr>
            <w:tcW w:w="884" w:type="dxa"/>
            <w:tcBorders>
              <w:top w:val="nil"/>
              <w:left w:val="nil"/>
              <w:bottom w:val="single" w:sz="4" w:space="0" w:color="auto"/>
              <w:right w:val="single" w:sz="4" w:space="0" w:color="auto"/>
            </w:tcBorders>
            <w:shd w:val="clear" w:color="auto" w:fill="auto"/>
            <w:vAlign w:val="center"/>
            <w:hideMark/>
          </w:tcPr>
          <w:p w14:paraId="3435092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20.2</w:t>
            </w:r>
          </w:p>
        </w:tc>
        <w:tc>
          <w:tcPr>
            <w:tcW w:w="884" w:type="dxa"/>
            <w:tcBorders>
              <w:top w:val="nil"/>
              <w:left w:val="nil"/>
              <w:bottom w:val="single" w:sz="4" w:space="0" w:color="auto"/>
              <w:right w:val="single" w:sz="4" w:space="0" w:color="auto"/>
            </w:tcBorders>
            <w:shd w:val="clear" w:color="auto" w:fill="auto"/>
            <w:vAlign w:val="center"/>
            <w:hideMark/>
          </w:tcPr>
          <w:p w14:paraId="71AC265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22.4</w:t>
            </w:r>
          </w:p>
        </w:tc>
        <w:tc>
          <w:tcPr>
            <w:tcW w:w="884" w:type="dxa"/>
            <w:tcBorders>
              <w:top w:val="nil"/>
              <w:left w:val="nil"/>
              <w:bottom w:val="single" w:sz="4" w:space="0" w:color="auto"/>
              <w:right w:val="single" w:sz="4" w:space="0" w:color="auto"/>
            </w:tcBorders>
            <w:shd w:val="clear" w:color="auto" w:fill="auto"/>
            <w:vAlign w:val="center"/>
            <w:hideMark/>
          </w:tcPr>
          <w:p w14:paraId="7447619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7176FE0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93" w:type="dxa"/>
            <w:tcBorders>
              <w:top w:val="nil"/>
              <w:left w:val="nil"/>
              <w:bottom w:val="single" w:sz="4" w:space="0" w:color="auto"/>
              <w:right w:val="single" w:sz="4" w:space="0" w:color="auto"/>
            </w:tcBorders>
            <w:shd w:val="clear" w:color="auto" w:fill="auto"/>
            <w:vAlign w:val="center"/>
            <w:hideMark/>
          </w:tcPr>
          <w:p w14:paraId="7CFBF9E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17.3</w:t>
            </w:r>
          </w:p>
        </w:tc>
        <w:tc>
          <w:tcPr>
            <w:tcW w:w="1294" w:type="dxa"/>
            <w:tcBorders>
              <w:top w:val="nil"/>
              <w:left w:val="nil"/>
              <w:bottom w:val="single" w:sz="4" w:space="0" w:color="auto"/>
              <w:right w:val="single" w:sz="4" w:space="0" w:color="auto"/>
            </w:tcBorders>
            <w:shd w:val="clear" w:color="auto" w:fill="auto"/>
            <w:vAlign w:val="center"/>
            <w:hideMark/>
          </w:tcPr>
          <w:p w14:paraId="69AE148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5D575"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00EE1FFE"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0B6BAC1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DT13</w:t>
            </w:r>
          </w:p>
        </w:tc>
        <w:tc>
          <w:tcPr>
            <w:tcW w:w="1073" w:type="dxa"/>
            <w:tcBorders>
              <w:top w:val="nil"/>
              <w:left w:val="nil"/>
              <w:bottom w:val="single" w:sz="4" w:space="0" w:color="auto"/>
              <w:right w:val="single" w:sz="4" w:space="0" w:color="auto"/>
            </w:tcBorders>
            <w:shd w:val="clear" w:color="auto" w:fill="auto"/>
            <w:vAlign w:val="center"/>
            <w:hideMark/>
          </w:tcPr>
          <w:p w14:paraId="3CB6045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430976</w:t>
            </w:r>
          </w:p>
        </w:tc>
        <w:tc>
          <w:tcPr>
            <w:tcW w:w="1183" w:type="dxa"/>
            <w:tcBorders>
              <w:top w:val="nil"/>
              <w:left w:val="nil"/>
              <w:bottom w:val="single" w:sz="4" w:space="0" w:color="auto"/>
              <w:right w:val="single" w:sz="4" w:space="0" w:color="auto"/>
            </w:tcBorders>
            <w:shd w:val="clear" w:color="auto" w:fill="auto"/>
            <w:vAlign w:val="center"/>
            <w:hideMark/>
          </w:tcPr>
          <w:p w14:paraId="2DD22FF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564378</w:t>
            </w:r>
          </w:p>
        </w:tc>
        <w:tc>
          <w:tcPr>
            <w:tcW w:w="884" w:type="dxa"/>
            <w:tcBorders>
              <w:top w:val="nil"/>
              <w:left w:val="nil"/>
              <w:bottom w:val="single" w:sz="4" w:space="0" w:color="auto"/>
              <w:right w:val="single" w:sz="4" w:space="0" w:color="auto"/>
            </w:tcBorders>
            <w:shd w:val="clear" w:color="auto" w:fill="auto"/>
            <w:vAlign w:val="center"/>
            <w:hideMark/>
          </w:tcPr>
          <w:p w14:paraId="7387CC5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23.8</w:t>
            </w:r>
          </w:p>
        </w:tc>
        <w:tc>
          <w:tcPr>
            <w:tcW w:w="884" w:type="dxa"/>
            <w:tcBorders>
              <w:top w:val="nil"/>
              <w:left w:val="nil"/>
              <w:bottom w:val="single" w:sz="4" w:space="0" w:color="auto"/>
              <w:right w:val="single" w:sz="4" w:space="0" w:color="auto"/>
            </w:tcBorders>
            <w:shd w:val="clear" w:color="auto" w:fill="auto"/>
            <w:vAlign w:val="center"/>
            <w:hideMark/>
          </w:tcPr>
          <w:p w14:paraId="3BB6C76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17.6</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6D6DC109" w14:textId="7D0610A8"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15.74</w:t>
            </w:r>
          </w:p>
        </w:tc>
        <w:tc>
          <w:tcPr>
            <w:tcW w:w="884" w:type="dxa"/>
            <w:tcBorders>
              <w:top w:val="nil"/>
              <w:left w:val="nil"/>
              <w:bottom w:val="single" w:sz="4" w:space="0" w:color="auto"/>
              <w:right w:val="single" w:sz="4" w:space="0" w:color="auto"/>
            </w:tcBorders>
            <w:shd w:val="clear" w:color="auto" w:fill="auto"/>
            <w:vAlign w:val="center"/>
            <w:hideMark/>
          </w:tcPr>
          <w:p w14:paraId="26935B3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14.3</w:t>
            </w:r>
          </w:p>
        </w:tc>
        <w:tc>
          <w:tcPr>
            <w:tcW w:w="884" w:type="dxa"/>
            <w:tcBorders>
              <w:top w:val="nil"/>
              <w:left w:val="nil"/>
              <w:bottom w:val="single" w:sz="4" w:space="0" w:color="auto"/>
              <w:right w:val="single" w:sz="4" w:space="0" w:color="auto"/>
            </w:tcBorders>
            <w:shd w:val="clear" w:color="auto" w:fill="auto"/>
            <w:vAlign w:val="center"/>
            <w:hideMark/>
          </w:tcPr>
          <w:p w14:paraId="7E1E80C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20.4</w:t>
            </w:r>
          </w:p>
        </w:tc>
        <w:tc>
          <w:tcPr>
            <w:tcW w:w="884" w:type="dxa"/>
            <w:tcBorders>
              <w:top w:val="nil"/>
              <w:left w:val="nil"/>
              <w:bottom w:val="single" w:sz="4" w:space="0" w:color="auto"/>
              <w:right w:val="single" w:sz="4" w:space="0" w:color="auto"/>
            </w:tcBorders>
            <w:shd w:val="clear" w:color="auto" w:fill="auto"/>
            <w:vAlign w:val="center"/>
            <w:hideMark/>
          </w:tcPr>
          <w:p w14:paraId="733F368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15.7</w:t>
            </w:r>
          </w:p>
        </w:tc>
        <w:tc>
          <w:tcPr>
            <w:tcW w:w="884" w:type="dxa"/>
            <w:tcBorders>
              <w:top w:val="nil"/>
              <w:left w:val="nil"/>
              <w:bottom w:val="single" w:sz="4" w:space="0" w:color="auto"/>
              <w:right w:val="single" w:sz="4" w:space="0" w:color="auto"/>
            </w:tcBorders>
            <w:shd w:val="clear" w:color="auto" w:fill="auto"/>
            <w:vAlign w:val="center"/>
            <w:hideMark/>
          </w:tcPr>
          <w:p w14:paraId="5B1C743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23.5</w:t>
            </w:r>
          </w:p>
        </w:tc>
        <w:tc>
          <w:tcPr>
            <w:tcW w:w="884" w:type="dxa"/>
            <w:tcBorders>
              <w:top w:val="nil"/>
              <w:left w:val="nil"/>
              <w:bottom w:val="single" w:sz="4" w:space="0" w:color="auto"/>
              <w:right w:val="single" w:sz="4" w:space="0" w:color="auto"/>
            </w:tcBorders>
            <w:shd w:val="clear" w:color="auto" w:fill="auto"/>
            <w:vAlign w:val="center"/>
            <w:hideMark/>
          </w:tcPr>
          <w:p w14:paraId="6DA28C2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27.3</w:t>
            </w:r>
          </w:p>
        </w:tc>
        <w:tc>
          <w:tcPr>
            <w:tcW w:w="884" w:type="dxa"/>
            <w:tcBorders>
              <w:top w:val="nil"/>
              <w:left w:val="nil"/>
              <w:bottom w:val="single" w:sz="4" w:space="0" w:color="auto"/>
              <w:right w:val="single" w:sz="4" w:space="0" w:color="auto"/>
            </w:tcBorders>
            <w:shd w:val="clear" w:color="auto" w:fill="auto"/>
            <w:vAlign w:val="center"/>
            <w:hideMark/>
          </w:tcPr>
          <w:p w14:paraId="0FE8E81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24.3</w:t>
            </w:r>
          </w:p>
        </w:tc>
        <w:tc>
          <w:tcPr>
            <w:tcW w:w="884" w:type="dxa"/>
            <w:tcBorders>
              <w:top w:val="nil"/>
              <w:left w:val="nil"/>
              <w:bottom w:val="single" w:sz="4" w:space="0" w:color="auto"/>
              <w:right w:val="single" w:sz="4" w:space="0" w:color="auto"/>
            </w:tcBorders>
            <w:shd w:val="clear" w:color="auto" w:fill="auto"/>
            <w:vAlign w:val="center"/>
            <w:hideMark/>
          </w:tcPr>
          <w:p w14:paraId="751CFF3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22.9</w:t>
            </w:r>
          </w:p>
        </w:tc>
        <w:tc>
          <w:tcPr>
            <w:tcW w:w="884" w:type="dxa"/>
            <w:tcBorders>
              <w:top w:val="nil"/>
              <w:left w:val="nil"/>
              <w:bottom w:val="single" w:sz="4" w:space="0" w:color="auto"/>
              <w:right w:val="single" w:sz="4" w:space="0" w:color="auto"/>
            </w:tcBorders>
            <w:shd w:val="clear" w:color="auto" w:fill="auto"/>
            <w:vAlign w:val="center"/>
            <w:hideMark/>
          </w:tcPr>
          <w:p w14:paraId="7476DB2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26.9</w:t>
            </w:r>
          </w:p>
        </w:tc>
        <w:tc>
          <w:tcPr>
            <w:tcW w:w="893" w:type="dxa"/>
            <w:tcBorders>
              <w:top w:val="nil"/>
              <w:left w:val="nil"/>
              <w:bottom w:val="single" w:sz="4" w:space="0" w:color="auto"/>
              <w:right w:val="single" w:sz="4" w:space="0" w:color="auto"/>
            </w:tcBorders>
            <w:shd w:val="clear" w:color="auto" w:fill="auto"/>
            <w:vAlign w:val="center"/>
            <w:hideMark/>
          </w:tcPr>
          <w:p w14:paraId="0EC27E2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21.6</w:t>
            </w:r>
          </w:p>
        </w:tc>
        <w:tc>
          <w:tcPr>
            <w:tcW w:w="1294" w:type="dxa"/>
            <w:tcBorders>
              <w:top w:val="nil"/>
              <w:left w:val="nil"/>
              <w:bottom w:val="single" w:sz="4" w:space="0" w:color="auto"/>
              <w:right w:val="single" w:sz="4" w:space="0" w:color="auto"/>
            </w:tcBorders>
            <w:shd w:val="clear" w:color="auto" w:fill="auto"/>
            <w:vAlign w:val="center"/>
            <w:hideMark/>
          </w:tcPr>
          <w:p w14:paraId="566E51F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A7818"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06B804C3"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4A4DFCA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DT14</w:t>
            </w:r>
          </w:p>
        </w:tc>
        <w:tc>
          <w:tcPr>
            <w:tcW w:w="1073" w:type="dxa"/>
            <w:tcBorders>
              <w:top w:val="nil"/>
              <w:left w:val="nil"/>
              <w:bottom w:val="single" w:sz="4" w:space="0" w:color="auto"/>
              <w:right w:val="single" w:sz="4" w:space="0" w:color="auto"/>
            </w:tcBorders>
            <w:shd w:val="clear" w:color="auto" w:fill="auto"/>
            <w:vAlign w:val="center"/>
            <w:hideMark/>
          </w:tcPr>
          <w:p w14:paraId="2CE1B6E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432393</w:t>
            </w:r>
          </w:p>
        </w:tc>
        <w:tc>
          <w:tcPr>
            <w:tcW w:w="1183" w:type="dxa"/>
            <w:tcBorders>
              <w:top w:val="nil"/>
              <w:left w:val="nil"/>
              <w:bottom w:val="single" w:sz="4" w:space="0" w:color="auto"/>
              <w:right w:val="single" w:sz="4" w:space="0" w:color="auto"/>
            </w:tcBorders>
            <w:shd w:val="clear" w:color="auto" w:fill="auto"/>
            <w:vAlign w:val="center"/>
            <w:hideMark/>
          </w:tcPr>
          <w:p w14:paraId="6A31CDD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564994</w:t>
            </w:r>
          </w:p>
        </w:tc>
        <w:tc>
          <w:tcPr>
            <w:tcW w:w="884" w:type="dxa"/>
            <w:tcBorders>
              <w:top w:val="nil"/>
              <w:left w:val="nil"/>
              <w:bottom w:val="single" w:sz="4" w:space="0" w:color="auto"/>
              <w:right w:val="single" w:sz="4" w:space="0" w:color="auto"/>
            </w:tcBorders>
            <w:shd w:val="clear" w:color="auto" w:fill="auto"/>
            <w:vAlign w:val="center"/>
            <w:hideMark/>
          </w:tcPr>
          <w:p w14:paraId="13B2DE3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33.7</w:t>
            </w:r>
          </w:p>
        </w:tc>
        <w:tc>
          <w:tcPr>
            <w:tcW w:w="884" w:type="dxa"/>
            <w:tcBorders>
              <w:top w:val="nil"/>
              <w:left w:val="nil"/>
              <w:bottom w:val="single" w:sz="4" w:space="0" w:color="auto"/>
              <w:right w:val="single" w:sz="4" w:space="0" w:color="auto"/>
            </w:tcBorders>
            <w:shd w:val="clear" w:color="auto" w:fill="auto"/>
            <w:vAlign w:val="center"/>
            <w:hideMark/>
          </w:tcPr>
          <w:p w14:paraId="5002C7E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21.4</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62DD1399" w14:textId="383FE102"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17.74</w:t>
            </w:r>
          </w:p>
        </w:tc>
        <w:tc>
          <w:tcPr>
            <w:tcW w:w="884" w:type="dxa"/>
            <w:tcBorders>
              <w:top w:val="nil"/>
              <w:left w:val="nil"/>
              <w:bottom w:val="single" w:sz="4" w:space="0" w:color="auto"/>
              <w:right w:val="single" w:sz="4" w:space="0" w:color="auto"/>
            </w:tcBorders>
            <w:shd w:val="clear" w:color="auto" w:fill="auto"/>
            <w:vAlign w:val="center"/>
            <w:hideMark/>
          </w:tcPr>
          <w:p w14:paraId="5645C73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18.4</w:t>
            </w:r>
          </w:p>
        </w:tc>
        <w:tc>
          <w:tcPr>
            <w:tcW w:w="884" w:type="dxa"/>
            <w:tcBorders>
              <w:top w:val="nil"/>
              <w:left w:val="nil"/>
              <w:bottom w:val="single" w:sz="4" w:space="0" w:color="auto"/>
              <w:right w:val="single" w:sz="4" w:space="0" w:color="auto"/>
            </w:tcBorders>
            <w:shd w:val="clear" w:color="auto" w:fill="auto"/>
            <w:vAlign w:val="center"/>
            <w:hideMark/>
          </w:tcPr>
          <w:p w14:paraId="4DF8AC1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20.3</w:t>
            </w:r>
          </w:p>
        </w:tc>
        <w:tc>
          <w:tcPr>
            <w:tcW w:w="884" w:type="dxa"/>
            <w:tcBorders>
              <w:top w:val="nil"/>
              <w:left w:val="nil"/>
              <w:bottom w:val="single" w:sz="4" w:space="0" w:color="auto"/>
              <w:right w:val="single" w:sz="4" w:space="0" w:color="auto"/>
            </w:tcBorders>
            <w:shd w:val="clear" w:color="auto" w:fill="auto"/>
            <w:vAlign w:val="center"/>
            <w:hideMark/>
          </w:tcPr>
          <w:p w14:paraId="57EF257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0C7DB6D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23.0</w:t>
            </w:r>
          </w:p>
        </w:tc>
        <w:tc>
          <w:tcPr>
            <w:tcW w:w="884" w:type="dxa"/>
            <w:tcBorders>
              <w:top w:val="nil"/>
              <w:left w:val="nil"/>
              <w:bottom w:val="single" w:sz="4" w:space="0" w:color="auto"/>
              <w:right w:val="single" w:sz="4" w:space="0" w:color="auto"/>
            </w:tcBorders>
            <w:shd w:val="clear" w:color="auto" w:fill="auto"/>
            <w:vAlign w:val="center"/>
            <w:hideMark/>
          </w:tcPr>
          <w:p w14:paraId="4DDBA00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30.7</w:t>
            </w:r>
          </w:p>
        </w:tc>
        <w:tc>
          <w:tcPr>
            <w:tcW w:w="884" w:type="dxa"/>
            <w:tcBorders>
              <w:top w:val="nil"/>
              <w:left w:val="nil"/>
              <w:bottom w:val="single" w:sz="4" w:space="0" w:color="auto"/>
              <w:right w:val="single" w:sz="4" w:space="0" w:color="auto"/>
            </w:tcBorders>
            <w:shd w:val="clear" w:color="auto" w:fill="auto"/>
            <w:vAlign w:val="center"/>
            <w:hideMark/>
          </w:tcPr>
          <w:p w14:paraId="7D96410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28.3</w:t>
            </w:r>
          </w:p>
        </w:tc>
        <w:tc>
          <w:tcPr>
            <w:tcW w:w="884" w:type="dxa"/>
            <w:tcBorders>
              <w:top w:val="nil"/>
              <w:left w:val="nil"/>
              <w:bottom w:val="single" w:sz="4" w:space="0" w:color="auto"/>
              <w:right w:val="single" w:sz="4" w:space="0" w:color="auto"/>
            </w:tcBorders>
            <w:shd w:val="clear" w:color="auto" w:fill="auto"/>
            <w:vAlign w:val="center"/>
            <w:hideMark/>
          </w:tcPr>
          <w:p w14:paraId="084943E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27.4</w:t>
            </w:r>
          </w:p>
        </w:tc>
        <w:tc>
          <w:tcPr>
            <w:tcW w:w="884" w:type="dxa"/>
            <w:tcBorders>
              <w:top w:val="nil"/>
              <w:left w:val="nil"/>
              <w:bottom w:val="single" w:sz="4" w:space="0" w:color="auto"/>
              <w:right w:val="single" w:sz="4" w:space="0" w:color="auto"/>
            </w:tcBorders>
            <w:shd w:val="clear" w:color="auto" w:fill="auto"/>
            <w:vAlign w:val="center"/>
            <w:hideMark/>
          </w:tcPr>
          <w:p w14:paraId="7DBF65C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29.3</w:t>
            </w:r>
          </w:p>
        </w:tc>
        <w:tc>
          <w:tcPr>
            <w:tcW w:w="893" w:type="dxa"/>
            <w:tcBorders>
              <w:top w:val="nil"/>
              <w:left w:val="nil"/>
              <w:bottom w:val="single" w:sz="4" w:space="0" w:color="auto"/>
              <w:right w:val="single" w:sz="4" w:space="0" w:color="auto"/>
            </w:tcBorders>
            <w:shd w:val="clear" w:color="auto" w:fill="auto"/>
            <w:vAlign w:val="center"/>
            <w:hideMark/>
          </w:tcPr>
          <w:p w14:paraId="32B1B56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25.7</w:t>
            </w:r>
          </w:p>
        </w:tc>
        <w:tc>
          <w:tcPr>
            <w:tcW w:w="1294" w:type="dxa"/>
            <w:tcBorders>
              <w:top w:val="nil"/>
              <w:left w:val="nil"/>
              <w:bottom w:val="single" w:sz="4" w:space="0" w:color="auto"/>
              <w:right w:val="single" w:sz="4" w:space="0" w:color="auto"/>
            </w:tcBorders>
            <w:shd w:val="clear" w:color="auto" w:fill="auto"/>
            <w:vAlign w:val="center"/>
            <w:hideMark/>
          </w:tcPr>
          <w:p w14:paraId="668A00E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22DE8"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4FDDC542"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5C9B5A6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DT15</w:t>
            </w:r>
          </w:p>
        </w:tc>
        <w:tc>
          <w:tcPr>
            <w:tcW w:w="1073" w:type="dxa"/>
            <w:tcBorders>
              <w:top w:val="nil"/>
              <w:left w:val="nil"/>
              <w:bottom w:val="single" w:sz="4" w:space="0" w:color="auto"/>
              <w:right w:val="single" w:sz="4" w:space="0" w:color="auto"/>
            </w:tcBorders>
            <w:shd w:val="clear" w:color="auto" w:fill="auto"/>
            <w:vAlign w:val="center"/>
            <w:hideMark/>
          </w:tcPr>
          <w:p w14:paraId="4EE7BF5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432682</w:t>
            </w:r>
          </w:p>
        </w:tc>
        <w:tc>
          <w:tcPr>
            <w:tcW w:w="1183" w:type="dxa"/>
            <w:tcBorders>
              <w:top w:val="nil"/>
              <w:left w:val="nil"/>
              <w:bottom w:val="single" w:sz="4" w:space="0" w:color="auto"/>
              <w:right w:val="single" w:sz="4" w:space="0" w:color="auto"/>
            </w:tcBorders>
            <w:shd w:val="clear" w:color="auto" w:fill="auto"/>
            <w:vAlign w:val="center"/>
            <w:hideMark/>
          </w:tcPr>
          <w:p w14:paraId="2BA34C1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565456</w:t>
            </w:r>
          </w:p>
        </w:tc>
        <w:tc>
          <w:tcPr>
            <w:tcW w:w="884" w:type="dxa"/>
            <w:tcBorders>
              <w:top w:val="nil"/>
              <w:left w:val="nil"/>
              <w:bottom w:val="single" w:sz="4" w:space="0" w:color="auto"/>
              <w:right w:val="single" w:sz="4" w:space="0" w:color="auto"/>
            </w:tcBorders>
            <w:shd w:val="clear" w:color="auto" w:fill="auto"/>
            <w:vAlign w:val="center"/>
            <w:hideMark/>
          </w:tcPr>
          <w:p w14:paraId="32ABA52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33.1</w:t>
            </w:r>
          </w:p>
        </w:tc>
        <w:tc>
          <w:tcPr>
            <w:tcW w:w="884" w:type="dxa"/>
            <w:tcBorders>
              <w:top w:val="nil"/>
              <w:left w:val="nil"/>
              <w:bottom w:val="single" w:sz="4" w:space="0" w:color="auto"/>
              <w:right w:val="single" w:sz="4" w:space="0" w:color="auto"/>
            </w:tcBorders>
            <w:shd w:val="clear" w:color="auto" w:fill="auto"/>
            <w:vAlign w:val="center"/>
            <w:hideMark/>
          </w:tcPr>
          <w:p w14:paraId="7DEC11A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22.2</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0FEEF408" w14:textId="12A45C71"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15.44</w:t>
            </w:r>
          </w:p>
        </w:tc>
        <w:tc>
          <w:tcPr>
            <w:tcW w:w="884" w:type="dxa"/>
            <w:tcBorders>
              <w:top w:val="nil"/>
              <w:left w:val="nil"/>
              <w:bottom w:val="single" w:sz="4" w:space="0" w:color="auto"/>
              <w:right w:val="single" w:sz="4" w:space="0" w:color="auto"/>
            </w:tcBorders>
            <w:shd w:val="clear" w:color="auto" w:fill="auto"/>
            <w:vAlign w:val="center"/>
            <w:hideMark/>
          </w:tcPr>
          <w:p w14:paraId="5D1495F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13.9</w:t>
            </w:r>
          </w:p>
        </w:tc>
        <w:tc>
          <w:tcPr>
            <w:tcW w:w="884" w:type="dxa"/>
            <w:tcBorders>
              <w:top w:val="nil"/>
              <w:left w:val="nil"/>
              <w:bottom w:val="single" w:sz="4" w:space="0" w:color="auto"/>
              <w:right w:val="single" w:sz="4" w:space="0" w:color="auto"/>
            </w:tcBorders>
            <w:shd w:val="clear" w:color="auto" w:fill="auto"/>
            <w:vAlign w:val="center"/>
            <w:hideMark/>
          </w:tcPr>
          <w:p w14:paraId="79CB2F3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17.2</w:t>
            </w:r>
          </w:p>
        </w:tc>
        <w:tc>
          <w:tcPr>
            <w:tcW w:w="884" w:type="dxa"/>
            <w:tcBorders>
              <w:top w:val="nil"/>
              <w:left w:val="nil"/>
              <w:bottom w:val="single" w:sz="4" w:space="0" w:color="auto"/>
              <w:right w:val="single" w:sz="4" w:space="0" w:color="auto"/>
            </w:tcBorders>
            <w:shd w:val="clear" w:color="auto" w:fill="auto"/>
            <w:vAlign w:val="center"/>
            <w:hideMark/>
          </w:tcPr>
          <w:p w14:paraId="02DFAAE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22.5</w:t>
            </w:r>
          </w:p>
        </w:tc>
        <w:tc>
          <w:tcPr>
            <w:tcW w:w="884" w:type="dxa"/>
            <w:tcBorders>
              <w:top w:val="nil"/>
              <w:left w:val="nil"/>
              <w:bottom w:val="single" w:sz="4" w:space="0" w:color="auto"/>
              <w:right w:val="single" w:sz="4" w:space="0" w:color="auto"/>
            </w:tcBorders>
            <w:shd w:val="clear" w:color="auto" w:fill="auto"/>
            <w:vAlign w:val="center"/>
            <w:hideMark/>
          </w:tcPr>
          <w:p w14:paraId="59AB0EF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18.4</w:t>
            </w:r>
          </w:p>
        </w:tc>
        <w:tc>
          <w:tcPr>
            <w:tcW w:w="884" w:type="dxa"/>
            <w:tcBorders>
              <w:top w:val="nil"/>
              <w:left w:val="nil"/>
              <w:bottom w:val="single" w:sz="4" w:space="0" w:color="auto"/>
              <w:right w:val="single" w:sz="4" w:space="0" w:color="auto"/>
            </w:tcBorders>
            <w:shd w:val="clear" w:color="auto" w:fill="auto"/>
            <w:vAlign w:val="center"/>
            <w:hideMark/>
          </w:tcPr>
          <w:p w14:paraId="12691CE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23.8</w:t>
            </w:r>
          </w:p>
        </w:tc>
        <w:tc>
          <w:tcPr>
            <w:tcW w:w="884" w:type="dxa"/>
            <w:tcBorders>
              <w:top w:val="nil"/>
              <w:left w:val="nil"/>
              <w:bottom w:val="single" w:sz="4" w:space="0" w:color="auto"/>
              <w:right w:val="single" w:sz="4" w:space="0" w:color="auto"/>
            </w:tcBorders>
            <w:shd w:val="clear" w:color="auto" w:fill="auto"/>
            <w:vAlign w:val="center"/>
            <w:hideMark/>
          </w:tcPr>
          <w:p w14:paraId="6586A33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7930FC0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84.7</w:t>
            </w:r>
          </w:p>
        </w:tc>
        <w:tc>
          <w:tcPr>
            <w:tcW w:w="884" w:type="dxa"/>
            <w:tcBorders>
              <w:top w:val="nil"/>
              <w:left w:val="nil"/>
              <w:bottom w:val="single" w:sz="4" w:space="0" w:color="auto"/>
              <w:right w:val="single" w:sz="4" w:space="0" w:color="auto"/>
            </w:tcBorders>
            <w:shd w:val="clear" w:color="auto" w:fill="auto"/>
            <w:vAlign w:val="center"/>
            <w:hideMark/>
          </w:tcPr>
          <w:p w14:paraId="674274F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31.5</w:t>
            </w:r>
          </w:p>
        </w:tc>
        <w:tc>
          <w:tcPr>
            <w:tcW w:w="893" w:type="dxa"/>
            <w:tcBorders>
              <w:top w:val="nil"/>
              <w:left w:val="nil"/>
              <w:bottom w:val="single" w:sz="4" w:space="0" w:color="auto"/>
              <w:right w:val="single" w:sz="4" w:space="0" w:color="auto"/>
            </w:tcBorders>
            <w:shd w:val="clear" w:color="auto" w:fill="auto"/>
            <w:vAlign w:val="center"/>
            <w:hideMark/>
          </w:tcPr>
          <w:p w14:paraId="7B8DCD1E" w14:textId="38386565" w:rsidR="00FF3EE6" w:rsidRPr="001D57F0" w:rsidRDefault="00FF3EE6" w:rsidP="00FF3EE6">
            <w:pPr>
              <w:spacing w:before="0" w:after="0" w:line="240" w:lineRule="auto"/>
              <w:jc w:val="center"/>
              <w:rPr>
                <w:rFonts w:eastAsia="Times New Roman" w:cs="Arial"/>
                <w:sz w:val="20"/>
                <w:szCs w:val="20"/>
                <w:lang w:eastAsia="en-GB"/>
              </w:rPr>
            </w:pPr>
            <w:r>
              <w:rPr>
                <w:rFonts w:eastAsia="Times New Roman" w:cs="Arial"/>
                <w:sz w:val="20"/>
                <w:szCs w:val="20"/>
                <w:lang w:eastAsia="en-GB"/>
              </w:rPr>
              <w:t>22.9</w:t>
            </w:r>
          </w:p>
        </w:tc>
        <w:tc>
          <w:tcPr>
            <w:tcW w:w="1294" w:type="dxa"/>
            <w:tcBorders>
              <w:top w:val="nil"/>
              <w:left w:val="nil"/>
              <w:bottom w:val="single" w:sz="4" w:space="0" w:color="auto"/>
              <w:right w:val="single" w:sz="4" w:space="0" w:color="auto"/>
            </w:tcBorders>
            <w:shd w:val="clear" w:color="auto" w:fill="auto"/>
            <w:vAlign w:val="center"/>
            <w:hideMark/>
          </w:tcPr>
          <w:p w14:paraId="0A02EA3E" w14:textId="2A1E8B93" w:rsidR="00FF3EE6" w:rsidRPr="001D57F0" w:rsidRDefault="00FF3EE6" w:rsidP="00FF3EE6">
            <w:pPr>
              <w:spacing w:before="0" w:after="0" w:line="240" w:lineRule="auto"/>
              <w:jc w:val="center"/>
              <w:rPr>
                <w:rFonts w:eastAsia="Times New Roman" w:cs="Arial"/>
                <w:sz w:val="20"/>
                <w:szCs w:val="20"/>
                <w:lang w:eastAsia="en-GB"/>
              </w:rPr>
            </w:pPr>
            <w:r>
              <w:rPr>
                <w:rFonts w:eastAsia="Times New Roman" w:cs="Arial"/>
                <w:sz w:val="20"/>
                <w:szCs w:val="20"/>
                <w:lang w:eastAsia="en-GB"/>
              </w:rPr>
              <w:t>19.1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10732"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7487FCBB"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09E5426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DT16</w:t>
            </w:r>
          </w:p>
        </w:tc>
        <w:tc>
          <w:tcPr>
            <w:tcW w:w="1073" w:type="dxa"/>
            <w:tcBorders>
              <w:top w:val="nil"/>
              <w:left w:val="nil"/>
              <w:bottom w:val="single" w:sz="4" w:space="0" w:color="auto"/>
              <w:right w:val="single" w:sz="4" w:space="0" w:color="auto"/>
            </w:tcBorders>
            <w:shd w:val="clear" w:color="auto" w:fill="auto"/>
            <w:vAlign w:val="center"/>
            <w:hideMark/>
          </w:tcPr>
          <w:p w14:paraId="3B304F1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433088</w:t>
            </w:r>
          </w:p>
        </w:tc>
        <w:tc>
          <w:tcPr>
            <w:tcW w:w="1183" w:type="dxa"/>
            <w:tcBorders>
              <w:top w:val="nil"/>
              <w:left w:val="nil"/>
              <w:bottom w:val="single" w:sz="4" w:space="0" w:color="auto"/>
              <w:right w:val="single" w:sz="4" w:space="0" w:color="auto"/>
            </w:tcBorders>
            <w:shd w:val="clear" w:color="auto" w:fill="auto"/>
            <w:vAlign w:val="center"/>
            <w:hideMark/>
          </w:tcPr>
          <w:p w14:paraId="4756121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565007</w:t>
            </w:r>
          </w:p>
        </w:tc>
        <w:tc>
          <w:tcPr>
            <w:tcW w:w="884" w:type="dxa"/>
            <w:tcBorders>
              <w:top w:val="nil"/>
              <w:left w:val="nil"/>
              <w:bottom w:val="single" w:sz="4" w:space="0" w:color="auto"/>
              <w:right w:val="single" w:sz="4" w:space="0" w:color="auto"/>
            </w:tcBorders>
            <w:shd w:val="clear" w:color="auto" w:fill="auto"/>
            <w:vAlign w:val="center"/>
            <w:hideMark/>
          </w:tcPr>
          <w:p w14:paraId="4C020C0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26.1</w:t>
            </w:r>
          </w:p>
        </w:tc>
        <w:tc>
          <w:tcPr>
            <w:tcW w:w="884" w:type="dxa"/>
            <w:tcBorders>
              <w:top w:val="nil"/>
              <w:left w:val="nil"/>
              <w:bottom w:val="single" w:sz="4" w:space="0" w:color="auto"/>
              <w:right w:val="single" w:sz="4" w:space="0" w:color="auto"/>
            </w:tcBorders>
            <w:shd w:val="clear" w:color="auto" w:fill="auto"/>
            <w:vAlign w:val="center"/>
            <w:hideMark/>
          </w:tcPr>
          <w:p w14:paraId="0594171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18.6</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2261F105" w14:textId="78EC2E18"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16.07</w:t>
            </w:r>
          </w:p>
        </w:tc>
        <w:tc>
          <w:tcPr>
            <w:tcW w:w="884" w:type="dxa"/>
            <w:tcBorders>
              <w:top w:val="nil"/>
              <w:left w:val="nil"/>
              <w:bottom w:val="single" w:sz="4" w:space="0" w:color="auto"/>
              <w:right w:val="single" w:sz="4" w:space="0" w:color="auto"/>
            </w:tcBorders>
            <w:shd w:val="clear" w:color="auto" w:fill="auto"/>
            <w:vAlign w:val="center"/>
            <w:hideMark/>
          </w:tcPr>
          <w:p w14:paraId="2268025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14.8</w:t>
            </w:r>
          </w:p>
        </w:tc>
        <w:tc>
          <w:tcPr>
            <w:tcW w:w="884" w:type="dxa"/>
            <w:tcBorders>
              <w:top w:val="nil"/>
              <w:left w:val="nil"/>
              <w:bottom w:val="single" w:sz="4" w:space="0" w:color="auto"/>
              <w:right w:val="single" w:sz="4" w:space="0" w:color="auto"/>
            </w:tcBorders>
            <w:shd w:val="clear" w:color="auto" w:fill="auto"/>
            <w:vAlign w:val="center"/>
            <w:hideMark/>
          </w:tcPr>
          <w:p w14:paraId="0B2DAB6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18.4</w:t>
            </w:r>
          </w:p>
        </w:tc>
        <w:tc>
          <w:tcPr>
            <w:tcW w:w="884" w:type="dxa"/>
            <w:tcBorders>
              <w:top w:val="nil"/>
              <w:left w:val="nil"/>
              <w:bottom w:val="single" w:sz="4" w:space="0" w:color="auto"/>
              <w:right w:val="single" w:sz="4" w:space="0" w:color="auto"/>
            </w:tcBorders>
            <w:shd w:val="clear" w:color="auto" w:fill="auto"/>
            <w:vAlign w:val="center"/>
            <w:hideMark/>
          </w:tcPr>
          <w:p w14:paraId="721651C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17.7</w:t>
            </w:r>
          </w:p>
        </w:tc>
        <w:tc>
          <w:tcPr>
            <w:tcW w:w="884" w:type="dxa"/>
            <w:tcBorders>
              <w:top w:val="nil"/>
              <w:left w:val="nil"/>
              <w:bottom w:val="single" w:sz="4" w:space="0" w:color="auto"/>
              <w:right w:val="single" w:sz="4" w:space="0" w:color="auto"/>
            </w:tcBorders>
            <w:shd w:val="clear" w:color="auto" w:fill="auto"/>
            <w:vAlign w:val="center"/>
            <w:hideMark/>
          </w:tcPr>
          <w:p w14:paraId="5D4D4A8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17.0</w:t>
            </w:r>
          </w:p>
        </w:tc>
        <w:tc>
          <w:tcPr>
            <w:tcW w:w="884" w:type="dxa"/>
            <w:tcBorders>
              <w:top w:val="nil"/>
              <w:left w:val="nil"/>
              <w:bottom w:val="single" w:sz="4" w:space="0" w:color="auto"/>
              <w:right w:val="single" w:sz="4" w:space="0" w:color="auto"/>
            </w:tcBorders>
            <w:shd w:val="clear" w:color="auto" w:fill="auto"/>
            <w:vAlign w:val="center"/>
            <w:hideMark/>
          </w:tcPr>
          <w:p w14:paraId="79316FF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23.2</w:t>
            </w:r>
          </w:p>
        </w:tc>
        <w:tc>
          <w:tcPr>
            <w:tcW w:w="884" w:type="dxa"/>
            <w:tcBorders>
              <w:top w:val="nil"/>
              <w:left w:val="nil"/>
              <w:bottom w:val="single" w:sz="4" w:space="0" w:color="auto"/>
              <w:right w:val="single" w:sz="4" w:space="0" w:color="auto"/>
            </w:tcBorders>
            <w:shd w:val="clear" w:color="auto" w:fill="auto"/>
            <w:vAlign w:val="center"/>
            <w:hideMark/>
          </w:tcPr>
          <w:p w14:paraId="78A13CC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23.2</w:t>
            </w:r>
          </w:p>
        </w:tc>
        <w:tc>
          <w:tcPr>
            <w:tcW w:w="884" w:type="dxa"/>
            <w:tcBorders>
              <w:top w:val="nil"/>
              <w:left w:val="nil"/>
              <w:bottom w:val="single" w:sz="4" w:space="0" w:color="auto"/>
              <w:right w:val="single" w:sz="4" w:space="0" w:color="auto"/>
            </w:tcBorders>
            <w:shd w:val="clear" w:color="auto" w:fill="auto"/>
            <w:vAlign w:val="center"/>
            <w:hideMark/>
          </w:tcPr>
          <w:p w14:paraId="5CA5ADC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27.9</w:t>
            </w:r>
          </w:p>
        </w:tc>
        <w:tc>
          <w:tcPr>
            <w:tcW w:w="884" w:type="dxa"/>
            <w:tcBorders>
              <w:top w:val="nil"/>
              <w:left w:val="nil"/>
              <w:bottom w:val="single" w:sz="4" w:space="0" w:color="auto"/>
              <w:right w:val="single" w:sz="4" w:space="0" w:color="auto"/>
            </w:tcBorders>
            <w:shd w:val="clear" w:color="auto" w:fill="auto"/>
            <w:vAlign w:val="center"/>
            <w:hideMark/>
          </w:tcPr>
          <w:p w14:paraId="5B08A58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28.8</w:t>
            </w:r>
          </w:p>
        </w:tc>
        <w:tc>
          <w:tcPr>
            <w:tcW w:w="893" w:type="dxa"/>
            <w:tcBorders>
              <w:top w:val="nil"/>
              <w:left w:val="nil"/>
              <w:bottom w:val="single" w:sz="4" w:space="0" w:color="auto"/>
              <w:right w:val="single" w:sz="4" w:space="0" w:color="auto"/>
            </w:tcBorders>
            <w:shd w:val="clear" w:color="auto" w:fill="auto"/>
            <w:vAlign w:val="center"/>
            <w:hideMark/>
          </w:tcPr>
          <w:p w14:paraId="75C2032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21.4</w:t>
            </w:r>
          </w:p>
        </w:tc>
        <w:tc>
          <w:tcPr>
            <w:tcW w:w="1294" w:type="dxa"/>
            <w:tcBorders>
              <w:top w:val="nil"/>
              <w:left w:val="nil"/>
              <w:bottom w:val="single" w:sz="4" w:space="0" w:color="auto"/>
              <w:right w:val="single" w:sz="4" w:space="0" w:color="auto"/>
            </w:tcBorders>
            <w:shd w:val="clear" w:color="auto" w:fill="auto"/>
            <w:vAlign w:val="center"/>
            <w:hideMark/>
          </w:tcPr>
          <w:p w14:paraId="2EFFDF5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7BCF0"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020AA9D4"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1FF77EF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DT17</w:t>
            </w:r>
          </w:p>
        </w:tc>
        <w:tc>
          <w:tcPr>
            <w:tcW w:w="1073" w:type="dxa"/>
            <w:tcBorders>
              <w:top w:val="nil"/>
              <w:left w:val="nil"/>
              <w:bottom w:val="single" w:sz="4" w:space="0" w:color="auto"/>
              <w:right w:val="single" w:sz="4" w:space="0" w:color="auto"/>
            </w:tcBorders>
            <w:shd w:val="clear" w:color="auto" w:fill="auto"/>
            <w:vAlign w:val="center"/>
            <w:hideMark/>
          </w:tcPr>
          <w:p w14:paraId="74CE3B9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433658</w:t>
            </w:r>
          </w:p>
        </w:tc>
        <w:tc>
          <w:tcPr>
            <w:tcW w:w="1183" w:type="dxa"/>
            <w:tcBorders>
              <w:top w:val="nil"/>
              <w:left w:val="nil"/>
              <w:bottom w:val="single" w:sz="4" w:space="0" w:color="auto"/>
              <w:right w:val="single" w:sz="4" w:space="0" w:color="auto"/>
            </w:tcBorders>
            <w:shd w:val="clear" w:color="auto" w:fill="auto"/>
            <w:vAlign w:val="center"/>
            <w:hideMark/>
          </w:tcPr>
          <w:p w14:paraId="26D01D3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563497</w:t>
            </w:r>
          </w:p>
        </w:tc>
        <w:tc>
          <w:tcPr>
            <w:tcW w:w="884" w:type="dxa"/>
            <w:tcBorders>
              <w:top w:val="nil"/>
              <w:left w:val="nil"/>
              <w:bottom w:val="single" w:sz="4" w:space="0" w:color="auto"/>
              <w:right w:val="single" w:sz="4" w:space="0" w:color="auto"/>
            </w:tcBorders>
            <w:shd w:val="clear" w:color="auto" w:fill="auto"/>
            <w:vAlign w:val="center"/>
            <w:hideMark/>
          </w:tcPr>
          <w:p w14:paraId="18FDA46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31.6</w:t>
            </w:r>
          </w:p>
        </w:tc>
        <w:tc>
          <w:tcPr>
            <w:tcW w:w="884" w:type="dxa"/>
            <w:tcBorders>
              <w:top w:val="nil"/>
              <w:left w:val="nil"/>
              <w:bottom w:val="single" w:sz="4" w:space="0" w:color="auto"/>
              <w:right w:val="single" w:sz="4" w:space="0" w:color="auto"/>
            </w:tcBorders>
            <w:shd w:val="clear" w:color="auto" w:fill="auto"/>
            <w:vAlign w:val="center"/>
            <w:hideMark/>
          </w:tcPr>
          <w:p w14:paraId="559963C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26.0</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7C2A796E" w14:textId="04F76A79"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19.88</w:t>
            </w:r>
          </w:p>
        </w:tc>
        <w:tc>
          <w:tcPr>
            <w:tcW w:w="884" w:type="dxa"/>
            <w:tcBorders>
              <w:top w:val="nil"/>
              <w:left w:val="nil"/>
              <w:bottom w:val="single" w:sz="4" w:space="0" w:color="auto"/>
              <w:right w:val="single" w:sz="4" w:space="0" w:color="auto"/>
            </w:tcBorders>
            <w:shd w:val="clear" w:color="auto" w:fill="auto"/>
            <w:vAlign w:val="center"/>
            <w:hideMark/>
          </w:tcPr>
          <w:p w14:paraId="048179D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20.3</w:t>
            </w:r>
          </w:p>
        </w:tc>
        <w:tc>
          <w:tcPr>
            <w:tcW w:w="884" w:type="dxa"/>
            <w:tcBorders>
              <w:top w:val="nil"/>
              <w:left w:val="nil"/>
              <w:bottom w:val="single" w:sz="4" w:space="0" w:color="auto"/>
              <w:right w:val="single" w:sz="4" w:space="0" w:color="auto"/>
            </w:tcBorders>
            <w:shd w:val="clear" w:color="auto" w:fill="auto"/>
            <w:vAlign w:val="center"/>
            <w:hideMark/>
          </w:tcPr>
          <w:p w14:paraId="762C9B0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28.1</w:t>
            </w:r>
          </w:p>
        </w:tc>
        <w:tc>
          <w:tcPr>
            <w:tcW w:w="884" w:type="dxa"/>
            <w:tcBorders>
              <w:top w:val="nil"/>
              <w:left w:val="nil"/>
              <w:bottom w:val="single" w:sz="4" w:space="0" w:color="auto"/>
              <w:right w:val="single" w:sz="4" w:space="0" w:color="auto"/>
            </w:tcBorders>
            <w:shd w:val="clear" w:color="auto" w:fill="auto"/>
            <w:vAlign w:val="center"/>
            <w:hideMark/>
          </w:tcPr>
          <w:p w14:paraId="2843440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15.0</w:t>
            </w:r>
          </w:p>
        </w:tc>
        <w:tc>
          <w:tcPr>
            <w:tcW w:w="884" w:type="dxa"/>
            <w:tcBorders>
              <w:top w:val="nil"/>
              <w:left w:val="nil"/>
              <w:bottom w:val="single" w:sz="4" w:space="0" w:color="auto"/>
              <w:right w:val="single" w:sz="4" w:space="0" w:color="auto"/>
            </w:tcBorders>
            <w:shd w:val="clear" w:color="auto" w:fill="auto"/>
            <w:vAlign w:val="center"/>
            <w:hideMark/>
          </w:tcPr>
          <w:p w14:paraId="379602F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28.5</w:t>
            </w:r>
          </w:p>
        </w:tc>
        <w:tc>
          <w:tcPr>
            <w:tcW w:w="884" w:type="dxa"/>
            <w:tcBorders>
              <w:top w:val="nil"/>
              <w:left w:val="nil"/>
              <w:bottom w:val="single" w:sz="4" w:space="0" w:color="auto"/>
              <w:right w:val="single" w:sz="4" w:space="0" w:color="auto"/>
            </w:tcBorders>
            <w:shd w:val="clear" w:color="auto" w:fill="auto"/>
            <w:vAlign w:val="center"/>
            <w:hideMark/>
          </w:tcPr>
          <w:p w14:paraId="10FD3EB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29.8</w:t>
            </w:r>
          </w:p>
        </w:tc>
        <w:tc>
          <w:tcPr>
            <w:tcW w:w="884" w:type="dxa"/>
            <w:tcBorders>
              <w:top w:val="nil"/>
              <w:left w:val="nil"/>
              <w:bottom w:val="single" w:sz="4" w:space="0" w:color="auto"/>
              <w:right w:val="single" w:sz="4" w:space="0" w:color="auto"/>
            </w:tcBorders>
            <w:shd w:val="clear" w:color="auto" w:fill="auto"/>
            <w:vAlign w:val="center"/>
            <w:hideMark/>
          </w:tcPr>
          <w:p w14:paraId="5E5C8D2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30.4</w:t>
            </w:r>
          </w:p>
        </w:tc>
        <w:tc>
          <w:tcPr>
            <w:tcW w:w="884" w:type="dxa"/>
            <w:tcBorders>
              <w:top w:val="nil"/>
              <w:left w:val="nil"/>
              <w:bottom w:val="single" w:sz="4" w:space="0" w:color="auto"/>
              <w:right w:val="single" w:sz="4" w:space="0" w:color="auto"/>
            </w:tcBorders>
            <w:shd w:val="clear" w:color="auto" w:fill="auto"/>
            <w:vAlign w:val="center"/>
            <w:hideMark/>
          </w:tcPr>
          <w:p w14:paraId="1FA12A9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35.0</w:t>
            </w:r>
          </w:p>
        </w:tc>
        <w:tc>
          <w:tcPr>
            <w:tcW w:w="884" w:type="dxa"/>
            <w:tcBorders>
              <w:top w:val="nil"/>
              <w:left w:val="nil"/>
              <w:bottom w:val="single" w:sz="4" w:space="0" w:color="auto"/>
              <w:right w:val="single" w:sz="4" w:space="0" w:color="auto"/>
            </w:tcBorders>
            <w:shd w:val="clear" w:color="auto" w:fill="auto"/>
            <w:vAlign w:val="center"/>
            <w:hideMark/>
          </w:tcPr>
          <w:p w14:paraId="04EB35D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32.8</w:t>
            </w:r>
          </w:p>
        </w:tc>
        <w:tc>
          <w:tcPr>
            <w:tcW w:w="893" w:type="dxa"/>
            <w:tcBorders>
              <w:top w:val="nil"/>
              <w:left w:val="nil"/>
              <w:bottom w:val="single" w:sz="4" w:space="0" w:color="auto"/>
              <w:right w:val="single" w:sz="4" w:space="0" w:color="auto"/>
            </w:tcBorders>
            <w:shd w:val="clear" w:color="auto" w:fill="auto"/>
            <w:vAlign w:val="center"/>
            <w:hideMark/>
          </w:tcPr>
          <w:p w14:paraId="4E7CB31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27.4</w:t>
            </w:r>
          </w:p>
        </w:tc>
        <w:tc>
          <w:tcPr>
            <w:tcW w:w="1294" w:type="dxa"/>
            <w:tcBorders>
              <w:top w:val="nil"/>
              <w:left w:val="nil"/>
              <w:bottom w:val="single" w:sz="4" w:space="0" w:color="auto"/>
              <w:right w:val="single" w:sz="4" w:space="0" w:color="auto"/>
            </w:tcBorders>
            <w:shd w:val="clear" w:color="auto" w:fill="auto"/>
            <w:vAlign w:val="center"/>
            <w:hideMark/>
          </w:tcPr>
          <w:p w14:paraId="20F0937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50E19"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6A27D345"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6E21EE3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DT18</w:t>
            </w:r>
          </w:p>
        </w:tc>
        <w:tc>
          <w:tcPr>
            <w:tcW w:w="1073" w:type="dxa"/>
            <w:tcBorders>
              <w:top w:val="nil"/>
              <w:left w:val="nil"/>
              <w:bottom w:val="single" w:sz="4" w:space="0" w:color="auto"/>
              <w:right w:val="single" w:sz="4" w:space="0" w:color="auto"/>
            </w:tcBorders>
            <w:shd w:val="clear" w:color="auto" w:fill="auto"/>
            <w:vAlign w:val="center"/>
            <w:hideMark/>
          </w:tcPr>
          <w:p w14:paraId="26BBFF9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433698</w:t>
            </w:r>
          </w:p>
        </w:tc>
        <w:tc>
          <w:tcPr>
            <w:tcW w:w="1183" w:type="dxa"/>
            <w:tcBorders>
              <w:top w:val="nil"/>
              <w:left w:val="nil"/>
              <w:bottom w:val="single" w:sz="4" w:space="0" w:color="auto"/>
              <w:right w:val="single" w:sz="4" w:space="0" w:color="auto"/>
            </w:tcBorders>
            <w:shd w:val="clear" w:color="auto" w:fill="auto"/>
            <w:vAlign w:val="center"/>
            <w:hideMark/>
          </w:tcPr>
          <w:p w14:paraId="1549CF6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563825</w:t>
            </w:r>
          </w:p>
        </w:tc>
        <w:tc>
          <w:tcPr>
            <w:tcW w:w="884" w:type="dxa"/>
            <w:tcBorders>
              <w:top w:val="nil"/>
              <w:left w:val="nil"/>
              <w:bottom w:val="single" w:sz="4" w:space="0" w:color="auto"/>
              <w:right w:val="single" w:sz="4" w:space="0" w:color="auto"/>
            </w:tcBorders>
            <w:shd w:val="clear" w:color="auto" w:fill="auto"/>
            <w:vAlign w:val="center"/>
            <w:hideMark/>
          </w:tcPr>
          <w:p w14:paraId="4BA7549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24.3</w:t>
            </w:r>
          </w:p>
        </w:tc>
        <w:tc>
          <w:tcPr>
            <w:tcW w:w="884" w:type="dxa"/>
            <w:tcBorders>
              <w:top w:val="nil"/>
              <w:left w:val="nil"/>
              <w:bottom w:val="single" w:sz="4" w:space="0" w:color="auto"/>
              <w:right w:val="single" w:sz="4" w:space="0" w:color="auto"/>
            </w:tcBorders>
            <w:shd w:val="clear" w:color="auto" w:fill="auto"/>
            <w:vAlign w:val="center"/>
            <w:hideMark/>
          </w:tcPr>
          <w:p w14:paraId="6D646C4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17.4</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1583B247" w14:textId="2DD4F61C"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16.33</w:t>
            </w:r>
          </w:p>
        </w:tc>
        <w:tc>
          <w:tcPr>
            <w:tcW w:w="884" w:type="dxa"/>
            <w:tcBorders>
              <w:top w:val="nil"/>
              <w:left w:val="nil"/>
              <w:bottom w:val="single" w:sz="4" w:space="0" w:color="auto"/>
              <w:right w:val="single" w:sz="4" w:space="0" w:color="auto"/>
            </w:tcBorders>
            <w:shd w:val="clear" w:color="auto" w:fill="auto"/>
            <w:vAlign w:val="center"/>
            <w:hideMark/>
          </w:tcPr>
          <w:p w14:paraId="785B18D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14.7</w:t>
            </w:r>
          </w:p>
        </w:tc>
        <w:tc>
          <w:tcPr>
            <w:tcW w:w="884" w:type="dxa"/>
            <w:tcBorders>
              <w:top w:val="nil"/>
              <w:left w:val="nil"/>
              <w:bottom w:val="single" w:sz="4" w:space="0" w:color="auto"/>
              <w:right w:val="single" w:sz="4" w:space="0" w:color="auto"/>
            </w:tcBorders>
            <w:shd w:val="clear" w:color="auto" w:fill="auto"/>
            <w:vAlign w:val="center"/>
            <w:hideMark/>
          </w:tcPr>
          <w:p w14:paraId="59D5FD0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23.2</w:t>
            </w:r>
          </w:p>
        </w:tc>
        <w:tc>
          <w:tcPr>
            <w:tcW w:w="884" w:type="dxa"/>
            <w:tcBorders>
              <w:top w:val="nil"/>
              <w:left w:val="nil"/>
              <w:bottom w:val="single" w:sz="4" w:space="0" w:color="auto"/>
              <w:right w:val="single" w:sz="4" w:space="0" w:color="auto"/>
            </w:tcBorders>
            <w:shd w:val="clear" w:color="auto" w:fill="auto"/>
            <w:vAlign w:val="center"/>
            <w:hideMark/>
          </w:tcPr>
          <w:p w14:paraId="0157C8B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22.3</w:t>
            </w:r>
          </w:p>
        </w:tc>
        <w:tc>
          <w:tcPr>
            <w:tcW w:w="884" w:type="dxa"/>
            <w:tcBorders>
              <w:top w:val="nil"/>
              <w:left w:val="nil"/>
              <w:bottom w:val="single" w:sz="4" w:space="0" w:color="auto"/>
              <w:right w:val="single" w:sz="4" w:space="0" w:color="auto"/>
            </w:tcBorders>
            <w:shd w:val="clear" w:color="auto" w:fill="auto"/>
            <w:vAlign w:val="center"/>
            <w:hideMark/>
          </w:tcPr>
          <w:p w14:paraId="1FBAB9B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22.5</w:t>
            </w:r>
          </w:p>
        </w:tc>
        <w:tc>
          <w:tcPr>
            <w:tcW w:w="884" w:type="dxa"/>
            <w:tcBorders>
              <w:top w:val="nil"/>
              <w:left w:val="nil"/>
              <w:bottom w:val="single" w:sz="4" w:space="0" w:color="auto"/>
              <w:right w:val="single" w:sz="4" w:space="0" w:color="auto"/>
            </w:tcBorders>
            <w:shd w:val="clear" w:color="auto" w:fill="auto"/>
            <w:vAlign w:val="center"/>
            <w:hideMark/>
          </w:tcPr>
          <w:p w14:paraId="5972862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26.2</w:t>
            </w:r>
          </w:p>
        </w:tc>
        <w:tc>
          <w:tcPr>
            <w:tcW w:w="884" w:type="dxa"/>
            <w:tcBorders>
              <w:top w:val="nil"/>
              <w:left w:val="nil"/>
              <w:bottom w:val="single" w:sz="4" w:space="0" w:color="auto"/>
              <w:right w:val="single" w:sz="4" w:space="0" w:color="auto"/>
            </w:tcBorders>
            <w:shd w:val="clear" w:color="auto" w:fill="auto"/>
            <w:vAlign w:val="center"/>
            <w:hideMark/>
          </w:tcPr>
          <w:p w14:paraId="19917D1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23.9</w:t>
            </w:r>
          </w:p>
        </w:tc>
        <w:tc>
          <w:tcPr>
            <w:tcW w:w="884" w:type="dxa"/>
            <w:tcBorders>
              <w:top w:val="nil"/>
              <w:left w:val="nil"/>
              <w:bottom w:val="single" w:sz="4" w:space="0" w:color="auto"/>
              <w:right w:val="single" w:sz="4" w:space="0" w:color="auto"/>
            </w:tcBorders>
            <w:shd w:val="clear" w:color="auto" w:fill="auto"/>
            <w:vAlign w:val="center"/>
            <w:hideMark/>
          </w:tcPr>
          <w:p w14:paraId="7D79BC1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25.5</w:t>
            </w:r>
          </w:p>
        </w:tc>
        <w:tc>
          <w:tcPr>
            <w:tcW w:w="884" w:type="dxa"/>
            <w:tcBorders>
              <w:top w:val="nil"/>
              <w:left w:val="nil"/>
              <w:bottom w:val="single" w:sz="4" w:space="0" w:color="auto"/>
              <w:right w:val="single" w:sz="4" w:space="0" w:color="auto"/>
            </w:tcBorders>
            <w:shd w:val="clear" w:color="auto" w:fill="auto"/>
            <w:vAlign w:val="center"/>
            <w:hideMark/>
          </w:tcPr>
          <w:p w14:paraId="4232AB0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29.6</w:t>
            </w:r>
          </w:p>
        </w:tc>
        <w:tc>
          <w:tcPr>
            <w:tcW w:w="893" w:type="dxa"/>
            <w:tcBorders>
              <w:top w:val="nil"/>
              <w:left w:val="nil"/>
              <w:bottom w:val="single" w:sz="4" w:space="0" w:color="auto"/>
              <w:right w:val="single" w:sz="4" w:space="0" w:color="auto"/>
            </w:tcBorders>
            <w:shd w:val="clear" w:color="auto" w:fill="auto"/>
            <w:vAlign w:val="center"/>
            <w:hideMark/>
          </w:tcPr>
          <w:p w14:paraId="2CD82D8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22.9</w:t>
            </w:r>
          </w:p>
        </w:tc>
        <w:tc>
          <w:tcPr>
            <w:tcW w:w="1294" w:type="dxa"/>
            <w:tcBorders>
              <w:top w:val="nil"/>
              <w:left w:val="nil"/>
              <w:bottom w:val="single" w:sz="4" w:space="0" w:color="auto"/>
              <w:right w:val="single" w:sz="4" w:space="0" w:color="auto"/>
            </w:tcBorders>
            <w:shd w:val="clear" w:color="auto" w:fill="auto"/>
            <w:vAlign w:val="center"/>
            <w:hideMark/>
          </w:tcPr>
          <w:p w14:paraId="7C580CF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5D637"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575625CF"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14E0EF5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DT19</w:t>
            </w:r>
          </w:p>
        </w:tc>
        <w:tc>
          <w:tcPr>
            <w:tcW w:w="1073" w:type="dxa"/>
            <w:tcBorders>
              <w:top w:val="nil"/>
              <w:left w:val="nil"/>
              <w:bottom w:val="single" w:sz="4" w:space="0" w:color="auto"/>
              <w:right w:val="single" w:sz="4" w:space="0" w:color="auto"/>
            </w:tcBorders>
            <w:shd w:val="clear" w:color="auto" w:fill="auto"/>
            <w:vAlign w:val="center"/>
            <w:hideMark/>
          </w:tcPr>
          <w:p w14:paraId="144B687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433780</w:t>
            </w:r>
          </w:p>
        </w:tc>
        <w:tc>
          <w:tcPr>
            <w:tcW w:w="1183" w:type="dxa"/>
            <w:tcBorders>
              <w:top w:val="nil"/>
              <w:left w:val="nil"/>
              <w:bottom w:val="single" w:sz="4" w:space="0" w:color="auto"/>
              <w:right w:val="single" w:sz="4" w:space="0" w:color="auto"/>
            </w:tcBorders>
            <w:shd w:val="clear" w:color="auto" w:fill="auto"/>
            <w:vAlign w:val="center"/>
            <w:hideMark/>
          </w:tcPr>
          <w:p w14:paraId="2BF3D1C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563692</w:t>
            </w:r>
          </w:p>
        </w:tc>
        <w:tc>
          <w:tcPr>
            <w:tcW w:w="884" w:type="dxa"/>
            <w:tcBorders>
              <w:top w:val="nil"/>
              <w:left w:val="nil"/>
              <w:bottom w:val="single" w:sz="4" w:space="0" w:color="auto"/>
              <w:right w:val="single" w:sz="4" w:space="0" w:color="auto"/>
            </w:tcBorders>
            <w:shd w:val="clear" w:color="auto" w:fill="auto"/>
            <w:vAlign w:val="center"/>
            <w:hideMark/>
          </w:tcPr>
          <w:p w14:paraId="43C4C29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36.3</w:t>
            </w:r>
          </w:p>
        </w:tc>
        <w:tc>
          <w:tcPr>
            <w:tcW w:w="884" w:type="dxa"/>
            <w:tcBorders>
              <w:top w:val="nil"/>
              <w:left w:val="nil"/>
              <w:bottom w:val="single" w:sz="4" w:space="0" w:color="auto"/>
              <w:right w:val="single" w:sz="4" w:space="0" w:color="auto"/>
            </w:tcBorders>
            <w:shd w:val="clear" w:color="auto" w:fill="auto"/>
            <w:vAlign w:val="center"/>
            <w:hideMark/>
          </w:tcPr>
          <w:p w14:paraId="6E6A3D9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22.7</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6D1B8E52" w14:textId="37416D9E"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18.04</w:t>
            </w:r>
          </w:p>
        </w:tc>
        <w:tc>
          <w:tcPr>
            <w:tcW w:w="884" w:type="dxa"/>
            <w:tcBorders>
              <w:top w:val="nil"/>
              <w:left w:val="nil"/>
              <w:bottom w:val="single" w:sz="4" w:space="0" w:color="auto"/>
              <w:right w:val="single" w:sz="4" w:space="0" w:color="auto"/>
            </w:tcBorders>
            <w:shd w:val="clear" w:color="auto" w:fill="auto"/>
            <w:vAlign w:val="center"/>
            <w:hideMark/>
          </w:tcPr>
          <w:p w14:paraId="552FC85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15.1</w:t>
            </w:r>
          </w:p>
        </w:tc>
        <w:tc>
          <w:tcPr>
            <w:tcW w:w="884" w:type="dxa"/>
            <w:tcBorders>
              <w:top w:val="nil"/>
              <w:left w:val="nil"/>
              <w:bottom w:val="single" w:sz="4" w:space="0" w:color="auto"/>
              <w:right w:val="single" w:sz="4" w:space="0" w:color="auto"/>
            </w:tcBorders>
            <w:shd w:val="clear" w:color="auto" w:fill="auto"/>
            <w:vAlign w:val="center"/>
            <w:hideMark/>
          </w:tcPr>
          <w:p w14:paraId="25248DE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19.8</w:t>
            </w:r>
          </w:p>
        </w:tc>
        <w:tc>
          <w:tcPr>
            <w:tcW w:w="884" w:type="dxa"/>
            <w:tcBorders>
              <w:top w:val="nil"/>
              <w:left w:val="nil"/>
              <w:bottom w:val="single" w:sz="4" w:space="0" w:color="auto"/>
              <w:right w:val="single" w:sz="4" w:space="0" w:color="auto"/>
            </w:tcBorders>
            <w:shd w:val="clear" w:color="auto" w:fill="auto"/>
            <w:vAlign w:val="center"/>
            <w:hideMark/>
          </w:tcPr>
          <w:p w14:paraId="06641BB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15.4</w:t>
            </w:r>
          </w:p>
        </w:tc>
        <w:tc>
          <w:tcPr>
            <w:tcW w:w="884" w:type="dxa"/>
            <w:tcBorders>
              <w:top w:val="nil"/>
              <w:left w:val="nil"/>
              <w:bottom w:val="single" w:sz="4" w:space="0" w:color="auto"/>
              <w:right w:val="single" w:sz="4" w:space="0" w:color="auto"/>
            </w:tcBorders>
            <w:shd w:val="clear" w:color="auto" w:fill="auto"/>
            <w:vAlign w:val="center"/>
            <w:hideMark/>
          </w:tcPr>
          <w:p w14:paraId="4988756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21.4</w:t>
            </w:r>
          </w:p>
        </w:tc>
        <w:tc>
          <w:tcPr>
            <w:tcW w:w="884" w:type="dxa"/>
            <w:tcBorders>
              <w:top w:val="nil"/>
              <w:left w:val="nil"/>
              <w:bottom w:val="single" w:sz="4" w:space="0" w:color="auto"/>
              <w:right w:val="single" w:sz="4" w:space="0" w:color="auto"/>
            </w:tcBorders>
            <w:shd w:val="clear" w:color="auto" w:fill="auto"/>
            <w:vAlign w:val="center"/>
            <w:hideMark/>
          </w:tcPr>
          <w:p w14:paraId="130BD6A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27.6</w:t>
            </w:r>
          </w:p>
        </w:tc>
        <w:tc>
          <w:tcPr>
            <w:tcW w:w="884" w:type="dxa"/>
            <w:tcBorders>
              <w:top w:val="nil"/>
              <w:left w:val="nil"/>
              <w:bottom w:val="single" w:sz="4" w:space="0" w:color="auto"/>
              <w:right w:val="single" w:sz="4" w:space="0" w:color="auto"/>
            </w:tcBorders>
            <w:shd w:val="clear" w:color="auto" w:fill="auto"/>
            <w:vAlign w:val="center"/>
            <w:hideMark/>
          </w:tcPr>
          <w:p w14:paraId="48371C1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28.6</w:t>
            </w:r>
          </w:p>
        </w:tc>
        <w:tc>
          <w:tcPr>
            <w:tcW w:w="884" w:type="dxa"/>
            <w:tcBorders>
              <w:top w:val="nil"/>
              <w:left w:val="nil"/>
              <w:bottom w:val="single" w:sz="4" w:space="0" w:color="auto"/>
              <w:right w:val="single" w:sz="4" w:space="0" w:color="auto"/>
            </w:tcBorders>
            <w:shd w:val="clear" w:color="auto" w:fill="auto"/>
            <w:vAlign w:val="center"/>
            <w:hideMark/>
          </w:tcPr>
          <w:p w14:paraId="053D5A2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39.3</w:t>
            </w:r>
          </w:p>
        </w:tc>
        <w:tc>
          <w:tcPr>
            <w:tcW w:w="884" w:type="dxa"/>
            <w:tcBorders>
              <w:top w:val="nil"/>
              <w:left w:val="nil"/>
              <w:bottom w:val="single" w:sz="4" w:space="0" w:color="auto"/>
              <w:right w:val="single" w:sz="4" w:space="0" w:color="auto"/>
            </w:tcBorders>
            <w:shd w:val="clear" w:color="auto" w:fill="auto"/>
            <w:vAlign w:val="center"/>
            <w:hideMark/>
          </w:tcPr>
          <w:p w14:paraId="1DB83BB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30.7</w:t>
            </w:r>
          </w:p>
        </w:tc>
        <w:tc>
          <w:tcPr>
            <w:tcW w:w="893" w:type="dxa"/>
            <w:tcBorders>
              <w:top w:val="nil"/>
              <w:left w:val="nil"/>
              <w:bottom w:val="single" w:sz="4" w:space="0" w:color="auto"/>
              <w:right w:val="single" w:sz="4" w:space="0" w:color="auto"/>
            </w:tcBorders>
            <w:shd w:val="clear" w:color="auto" w:fill="auto"/>
            <w:vAlign w:val="center"/>
            <w:hideMark/>
          </w:tcPr>
          <w:p w14:paraId="3FD6F7F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25.2</w:t>
            </w:r>
          </w:p>
        </w:tc>
        <w:tc>
          <w:tcPr>
            <w:tcW w:w="1294" w:type="dxa"/>
            <w:tcBorders>
              <w:top w:val="nil"/>
              <w:left w:val="nil"/>
              <w:bottom w:val="single" w:sz="4" w:space="0" w:color="auto"/>
              <w:right w:val="single" w:sz="4" w:space="0" w:color="auto"/>
            </w:tcBorders>
            <w:shd w:val="clear" w:color="auto" w:fill="auto"/>
            <w:vAlign w:val="center"/>
            <w:hideMark/>
          </w:tcPr>
          <w:p w14:paraId="34F4034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E328E"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63028FA1"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1EF5673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DT20</w:t>
            </w:r>
          </w:p>
        </w:tc>
        <w:tc>
          <w:tcPr>
            <w:tcW w:w="1073" w:type="dxa"/>
            <w:tcBorders>
              <w:top w:val="nil"/>
              <w:left w:val="nil"/>
              <w:bottom w:val="single" w:sz="4" w:space="0" w:color="auto"/>
              <w:right w:val="single" w:sz="4" w:space="0" w:color="auto"/>
            </w:tcBorders>
            <w:shd w:val="clear" w:color="auto" w:fill="auto"/>
            <w:vAlign w:val="center"/>
            <w:hideMark/>
          </w:tcPr>
          <w:p w14:paraId="4784995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434068</w:t>
            </w:r>
          </w:p>
        </w:tc>
        <w:tc>
          <w:tcPr>
            <w:tcW w:w="1183" w:type="dxa"/>
            <w:tcBorders>
              <w:top w:val="nil"/>
              <w:left w:val="nil"/>
              <w:bottom w:val="single" w:sz="4" w:space="0" w:color="auto"/>
              <w:right w:val="single" w:sz="4" w:space="0" w:color="auto"/>
            </w:tcBorders>
            <w:shd w:val="clear" w:color="auto" w:fill="auto"/>
            <w:vAlign w:val="center"/>
            <w:hideMark/>
          </w:tcPr>
          <w:p w14:paraId="44FB96F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563695</w:t>
            </w:r>
          </w:p>
        </w:tc>
        <w:tc>
          <w:tcPr>
            <w:tcW w:w="884" w:type="dxa"/>
            <w:tcBorders>
              <w:top w:val="nil"/>
              <w:left w:val="nil"/>
              <w:bottom w:val="single" w:sz="4" w:space="0" w:color="auto"/>
              <w:right w:val="single" w:sz="4" w:space="0" w:color="auto"/>
            </w:tcBorders>
            <w:shd w:val="clear" w:color="auto" w:fill="auto"/>
            <w:vAlign w:val="center"/>
            <w:hideMark/>
          </w:tcPr>
          <w:p w14:paraId="02DA6A7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29.5</w:t>
            </w:r>
          </w:p>
        </w:tc>
        <w:tc>
          <w:tcPr>
            <w:tcW w:w="884" w:type="dxa"/>
            <w:tcBorders>
              <w:top w:val="nil"/>
              <w:left w:val="nil"/>
              <w:bottom w:val="single" w:sz="4" w:space="0" w:color="auto"/>
              <w:right w:val="single" w:sz="4" w:space="0" w:color="auto"/>
            </w:tcBorders>
            <w:shd w:val="clear" w:color="auto" w:fill="auto"/>
            <w:vAlign w:val="center"/>
            <w:hideMark/>
          </w:tcPr>
          <w:p w14:paraId="1032A1E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200DFFF4" w14:textId="64680AE9"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17.52</w:t>
            </w:r>
          </w:p>
        </w:tc>
        <w:tc>
          <w:tcPr>
            <w:tcW w:w="884" w:type="dxa"/>
            <w:tcBorders>
              <w:top w:val="nil"/>
              <w:left w:val="nil"/>
              <w:bottom w:val="single" w:sz="4" w:space="0" w:color="auto"/>
              <w:right w:val="single" w:sz="4" w:space="0" w:color="auto"/>
            </w:tcBorders>
            <w:shd w:val="clear" w:color="auto" w:fill="auto"/>
            <w:vAlign w:val="center"/>
            <w:hideMark/>
          </w:tcPr>
          <w:p w14:paraId="542105C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15.4</w:t>
            </w:r>
          </w:p>
        </w:tc>
        <w:tc>
          <w:tcPr>
            <w:tcW w:w="884" w:type="dxa"/>
            <w:tcBorders>
              <w:top w:val="nil"/>
              <w:left w:val="nil"/>
              <w:bottom w:val="single" w:sz="4" w:space="0" w:color="auto"/>
              <w:right w:val="single" w:sz="4" w:space="0" w:color="auto"/>
            </w:tcBorders>
            <w:shd w:val="clear" w:color="auto" w:fill="auto"/>
            <w:vAlign w:val="center"/>
            <w:hideMark/>
          </w:tcPr>
          <w:p w14:paraId="11E6F22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16.4</w:t>
            </w:r>
          </w:p>
        </w:tc>
        <w:tc>
          <w:tcPr>
            <w:tcW w:w="884" w:type="dxa"/>
            <w:tcBorders>
              <w:top w:val="nil"/>
              <w:left w:val="nil"/>
              <w:bottom w:val="single" w:sz="4" w:space="0" w:color="auto"/>
              <w:right w:val="single" w:sz="4" w:space="0" w:color="auto"/>
            </w:tcBorders>
            <w:shd w:val="clear" w:color="auto" w:fill="auto"/>
            <w:vAlign w:val="center"/>
            <w:hideMark/>
          </w:tcPr>
          <w:p w14:paraId="63E592E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20.1</w:t>
            </w:r>
          </w:p>
        </w:tc>
        <w:tc>
          <w:tcPr>
            <w:tcW w:w="884" w:type="dxa"/>
            <w:tcBorders>
              <w:top w:val="nil"/>
              <w:left w:val="nil"/>
              <w:bottom w:val="single" w:sz="4" w:space="0" w:color="auto"/>
              <w:right w:val="single" w:sz="4" w:space="0" w:color="auto"/>
            </w:tcBorders>
            <w:shd w:val="clear" w:color="auto" w:fill="auto"/>
            <w:vAlign w:val="center"/>
            <w:hideMark/>
          </w:tcPr>
          <w:p w14:paraId="7941404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22.5</w:t>
            </w:r>
          </w:p>
        </w:tc>
        <w:tc>
          <w:tcPr>
            <w:tcW w:w="884" w:type="dxa"/>
            <w:tcBorders>
              <w:top w:val="nil"/>
              <w:left w:val="nil"/>
              <w:bottom w:val="single" w:sz="4" w:space="0" w:color="auto"/>
              <w:right w:val="single" w:sz="4" w:space="0" w:color="auto"/>
            </w:tcBorders>
            <w:shd w:val="clear" w:color="auto" w:fill="auto"/>
            <w:vAlign w:val="center"/>
            <w:hideMark/>
          </w:tcPr>
          <w:p w14:paraId="574B722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26.2</w:t>
            </w:r>
          </w:p>
        </w:tc>
        <w:tc>
          <w:tcPr>
            <w:tcW w:w="884" w:type="dxa"/>
            <w:tcBorders>
              <w:top w:val="nil"/>
              <w:left w:val="nil"/>
              <w:bottom w:val="single" w:sz="4" w:space="0" w:color="auto"/>
              <w:right w:val="single" w:sz="4" w:space="0" w:color="auto"/>
            </w:tcBorders>
            <w:shd w:val="clear" w:color="auto" w:fill="auto"/>
            <w:vAlign w:val="center"/>
            <w:hideMark/>
          </w:tcPr>
          <w:p w14:paraId="046823C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27.1</w:t>
            </w:r>
          </w:p>
        </w:tc>
        <w:tc>
          <w:tcPr>
            <w:tcW w:w="884" w:type="dxa"/>
            <w:tcBorders>
              <w:top w:val="nil"/>
              <w:left w:val="nil"/>
              <w:bottom w:val="single" w:sz="4" w:space="0" w:color="auto"/>
              <w:right w:val="single" w:sz="4" w:space="0" w:color="auto"/>
            </w:tcBorders>
            <w:shd w:val="clear" w:color="auto" w:fill="auto"/>
            <w:vAlign w:val="center"/>
            <w:hideMark/>
          </w:tcPr>
          <w:p w14:paraId="2A30832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31.6</w:t>
            </w:r>
          </w:p>
        </w:tc>
        <w:tc>
          <w:tcPr>
            <w:tcW w:w="884" w:type="dxa"/>
            <w:tcBorders>
              <w:top w:val="nil"/>
              <w:left w:val="nil"/>
              <w:bottom w:val="single" w:sz="4" w:space="0" w:color="auto"/>
              <w:right w:val="single" w:sz="4" w:space="0" w:color="auto"/>
            </w:tcBorders>
            <w:shd w:val="clear" w:color="auto" w:fill="auto"/>
            <w:vAlign w:val="center"/>
            <w:hideMark/>
          </w:tcPr>
          <w:p w14:paraId="2225039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29.2</w:t>
            </w:r>
          </w:p>
        </w:tc>
        <w:tc>
          <w:tcPr>
            <w:tcW w:w="893" w:type="dxa"/>
            <w:tcBorders>
              <w:top w:val="nil"/>
              <w:left w:val="nil"/>
              <w:bottom w:val="single" w:sz="4" w:space="0" w:color="auto"/>
              <w:right w:val="single" w:sz="4" w:space="0" w:color="auto"/>
            </w:tcBorders>
            <w:shd w:val="clear" w:color="auto" w:fill="auto"/>
            <w:vAlign w:val="center"/>
            <w:hideMark/>
          </w:tcPr>
          <w:p w14:paraId="0107216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84D33" w14:textId="77777777" w:rsidR="00FF3EE6" w:rsidRPr="001D57F0" w:rsidRDefault="00FF3EE6" w:rsidP="00FF3EE6">
            <w:pPr>
              <w:spacing w:before="0" w:after="0" w:line="240" w:lineRule="auto"/>
              <w:jc w:val="center"/>
              <w:rPr>
                <w:rFonts w:eastAsia="Times New Roman" w:cs="Arial"/>
                <w:b/>
                <w:bCs/>
                <w:sz w:val="20"/>
                <w:szCs w:val="20"/>
                <w:lang w:eastAsia="en-GB"/>
              </w:rPr>
            </w:pPr>
            <w:r w:rsidRPr="001D57F0">
              <w:rPr>
                <w:rFonts w:eastAsia="Times New Roman" w:cs="Arial"/>
                <w:b/>
                <w:bCs/>
                <w:sz w:val="20"/>
                <w:szCs w:val="20"/>
                <w:lang w:eastAsia="en-GB"/>
              </w:rPr>
              <w:t>-</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65188"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25A9C4E6"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744D050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DT21</w:t>
            </w:r>
          </w:p>
        </w:tc>
        <w:tc>
          <w:tcPr>
            <w:tcW w:w="1073" w:type="dxa"/>
            <w:tcBorders>
              <w:top w:val="nil"/>
              <w:left w:val="nil"/>
              <w:bottom w:val="single" w:sz="4" w:space="0" w:color="auto"/>
              <w:right w:val="single" w:sz="4" w:space="0" w:color="auto"/>
            </w:tcBorders>
            <w:shd w:val="clear" w:color="auto" w:fill="auto"/>
            <w:vAlign w:val="center"/>
            <w:hideMark/>
          </w:tcPr>
          <w:p w14:paraId="49C7483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434068</w:t>
            </w:r>
          </w:p>
        </w:tc>
        <w:tc>
          <w:tcPr>
            <w:tcW w:w="1183" w:type="dxa"/>
            <w:tcBorders>
              <w:top w:val="nil"/>
              <w:left w:val="nil"/>
              <w:bottom w:val="single" w:sz="4" w:space="0" w:color="auto"/>
              <w:right w:val="single" w:sz="4" w:space="0" w:color="auto"/>
            </w:tcBorders>
            <w:shd w:val="clear" w:color="auto" w:fill="auto"/>
            <w:vAlign w:val="center"/>
            <w:hideMark/>
          </w:tcPr>
          <w:p w14:paraId="7D2A624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563695</w:t>
            </w:r>
          </w:p>
        </w:tc>
        <w:tc>
          <w:tcPr>
            <w:tcW w:w="884" w:type="dxa"/>
            <w:tcBorders>
              <w:top w:val="nil"/>
              <w:left w:val="nil"/>
              <w:bottom w:val="single" w:sz="4" w:space="0" w:color="auto"/>
              <w:right w:val="single" w:sz="4" w:space="0" w:color="auto"/>
            </w:tcBorders>
            <w:shd w:val="clear" w:color="auto" w:fill="auto"/>
            <w:vAlign w:val="center"/>
            <w:hideMark/>
          </w:tcPr>
          <w:p w14:paraId="5E09717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29.7</w:t>
            </w:r>
          </w:p>
        </w:tc>
        <w:tc>
          <w:tcPr>
            <w:tcW w:w="884" w:type="dxa"/>
            <w:tcBorders>
              <w:top w:val="nil"/>
              <w:left w:val="nil"/>
              <w:bottom w:val="single" w:sz="4" w:space="0" w:color="auto"/>
              <w:right w:val="single" w:sz="4" w:space="0" w:color="auto"/>
            </w:tcBorders>
            <w:shd w:val="clear" w:color="auto" w:fill="auto"/>
            <w:vAlign w:val="center"/>
            <w:hideMark/>
          </w:tcPr>
          <w:p w14:paraId="2B52F89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21.5</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284FB8AA" w14:textId="308073BE"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17.60</w:t>
            </w:r>
          </w:p>
        </w:tc>
        <w:tc>
          <w:tcPr>
            <w:tcW w:w="884" w:type="dxa"/>
            <w:tcBorders>
              <w:top w:val="nil"/>
              <w:left w:val="nil"/>
              <w:bottom w:val="single" w:sz="4" w:space="0" w:color="auto"/>
              <w:right w:val="single" w:sz="4" w:space="0" w:color="auto"/>
            </w:tcBorders>
            <w:shd w:val="clear" w:color="auto" w:fill="auto"/>
            <w:vAlign w:val="center"/>
            <w:hideMark/>
          </w:tcPr>
          <w:p w14:paraId="156C1BC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16.4</w:t>
            </w:r>
          </w:p>
        </w:tc>
        <w:tc>
          <w:tcPr>
            <w:tcW w:w="884" w:type="dxa"/>
            <w:tcBorders>
              <w:top w:val="nil"/>
              <w:left w:val="nil"/>
              <w:bottom w:val="single" w:sz="4" w:space="0" w:color="auto"/>
              <w:right w:val="single" w:sz="4" w:space="0" w:color="auto"/>
            </w:tcBorders>
            <w:shd w:val="clear" w:color="auto" w:fill="auto"/>
            <w:vAlign w:val="center"/>
            <w:hideMark/>
          </w:tcPr>
          <w:p w14:paraId="6F72D98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18.3</w:t>
            </w:r>
          </w:p>
        </w:tc>
        <w:tc>
          <w:tcPr>
            <w:tcW w:w="884" w:type="dxa"/>
            <w:tcBorders>
              <w:top w:val="nil"/>
              <w:left w:val="nil"/>
              <w:bottom w:val="single" w:sz="4" w:space="0" w:color="auto"/>
              <w:right w:val="single" w:sz="4" w:space="0" w:color="auto"/>
            </w:tcBorders>
            <w:shd w:val="clear" w:color="auto" w:fill="auto"/>
            <w:vAlign w:val="center"/>
            <w:hideMark/>
          </w:tcPr>
          <w:p w14:paraId="2410761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19.1</w:t>
            </w:r>
          </w:p>
        </w:tc>
        <w:tc>
          <w:tcPr>
            <w:tcW w:w="884" w:type="dxa"/>
            <w:tcBorders>
              <w:top w:val="nil"/>
              <w:left w:val="nil"/>
              <w:bottom w:val="single" w:sz="4" w:space="0" w:color="auto"/>
              <w:right w:val="single" w:sz="4" w:space="0" w:color="auto"/>
            </w:tcBorders>
            <w:shd w:val="clear" w:color="auto" w:fill="auto"/>
            <w:vAlign w:val="center"/>
            <w:hideMark/>
          </w:tcPr>
          <w:p w14:paraId="268E82F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22.5</w:t>
            </w:r>
          </w:p>
        </w:tc>
        <w:tc>
          <w:tcPr>
            <w:tcW w:w="884" w:type="dxa"/>
            <w:tcBorders>
              <w:top w:val="nil"/>
              <w:left w:val="nil"/>
              <w:bottom w:val="single" w:sz="4" w:space="0" w:color="auto"/>
              <w:right w:val="single" w:sz="4" w:space="0" w:color="auto"/>
            </w:tcBorders>
            <w:shd w:val="clear" w:color="auto" w:fill="auto"/>
            <w:vAlign w:val="center"/>
            <w:hideMark/>
          </w:tcPr>
          <w:p w14:paraId="4442B27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4DC65C2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27.5</w:t>
            </w:r>
          </w:p>
        </w:tc>
        <w:tc>
          <w:tcPr>
            <w:tcW w:w="884" w:type="dxa"/>
            <w:tcBorders>
              <w:top w:val="nil"/>
              <w:left w:val="nil"/>
              <w:bottom w:val="single" w:sz="4" w:space="0" w:color="auto"/>
              <w:right w:val="single" w:sz="4" w:space="0" w:color="auto"/>
            </w:tcBorders>
            <w:shd w:val="clear" w:color="auto" w:fill="auto"/>
            <w:vAlign w:val="center"/>
            <w:hideMark/>
          </w:tcPr>
          <w:p w14:paraId="4DCADA0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31.9</w:t>
            </w:r>
          </w:p>
        </w:tc>
        <w:tc>
          <w:tcPr>
            <w:tcW w:w="884" w:type="dxa"/>
            <w:tcBorders>
              <w:top w:val="nil"/>
              <w:left w:val="nil"/>
              <w:bottom w:val="single" w:sz="4" w:space="0" w:color="auto"/>
              <w:right w:val="single" w:sz="4" w:space="0" w:color="auto"/>
            </w:tcBorders>
            <w:shd w:val="clear" w:color="auto" w:fill="auto"/>
            <w:vAlign w:val="center"/>
            <w:hideMark/>
          </w:tcPr>
          <w:p w14:paraId="7A1A1FE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27.1</w:t>
            </w:r>
          </w:p>
        </w:tc>
        <w:tc>
          <w:tcPr>
            <w:tcW w:w="893" w:type="dxa"/>
            <w:tcBorders>
              <w:top w:val="nil"/>
              <w:left w:val="nil"/>
              <w:bottom w:val="single" w:sz="4" w:space="0" w:color="auto"/>
              <w:right w:val="single" w:sz="4" w:space="0" w:color="auto"/>
            </w:tcBorders>
            <w:shd w:val="clear" w:color="auto" w:fill="auto"/>
            <w:vAlign w:val="center"/>
            <w:hideMark/>
          </w:tcPr>
          <w:p w14:paraId="5747661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56E87" w14:textId="77777777" w:rsidR="00FF3EE6" w:rsidRPr="001D57F0" w:rsidRDefault="00FF3EE6" w:rsidP="00FF3EE6">
            <w:pPr>
              <w:spacing w:before="0" w:after="0" w:line="240" w:lineRule="auto"/>
              <w:jc w:val="center"/>
              <w:rPr>
                <w:rFonts w:eastAsia="Times New Roman" w:cs="Arial"/>
                <w:b/>
                <w:bCs/>
                <w:sz w:val="20"/>
                <w:szCs w:val="20"/>
                <w:lang w:eastAsia="en-GB"/>
              </w:rPr>
            </w:pPr>
            <w:r w:rsidRPr="001D57F0">
              <w:rPr>
                <w:rFonts w:eastAsia="Times New Roman" w:cs="Arial"/>
                <w:b/>
                <w:bCs/>
                <w:sz w:val="20"/>
                <w:szCs w:val="20"/>
                <w:lang w:eastAsia="en-GB"/>
              </w:rPr>
              <w:t>-</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E24E1"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36E75CB7"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7CF37A6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DT22</w:t>
            </w:r>
          </w:p>
        </w:tc>
        <w:tc>
          <w:tcPr>
            <w:tcW w:w="1073" w:type="dxa"/>
            <w:tcBorders>
              <w:top w:val="nil"/>
              <w:left w:val="nil"/>
              <w:bottom w:val="single" w:sz="4" w:space="0" w:color="auto"/>
              <w:right w:val="single" w:sz="4" w:space="0" w:color="auto"/>
            </w:tcBorders>
            <w:shd w:val="clear" w:color="auto" w:fill="auto"/>
            <w:vAlign w:val="center"/>
            <w:hideMark/>
          </w:tcPr>
          <w:p w14:paraId="23AAB86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434068</w:t>
            </w:r>
          </w:p>
        </w:tc>
        <w:tc>
          <w:tcPr>
            <w:tcW w:w="1183" w:type="dxa"/>
            <w:tcBorders>
              <w:top w:val="nil"/>
              <w:left w:val="nil"/>
              <w:bottom w:val="single" w:sz="4" w:space="0" w:color="auto"/>
              <w:right w:val="single" w:sz="4" w:space="0" w:color="auto"/>
            </w:tcBorders>
            <w:shd w:val="clear" w:color="auto" w:fill="auto"/>
            <w:vAlign w:val="center"/>
            <w:hideMark/>
          </w:tcPr>
          <w:p w14:paraId="67700C5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563695</w:t>
            </w:r>
          </w:p>
        </w:tc>
        <w:tc>
          <w:tcPr>
            <w:tcW w:w="884" w:type="dxa"/>
            <w:tcBorders>
              <w:top w:val="nil"/>
              <w:left w:val="nil"/>
              <w:bottom w:val="single" w:sz="4" w:space="0" w:color="auto"/>
              <w:right w:val="single" w:sz="4" w:space="0" w:color="auto"/>
            </w:tcBorders>
            <w:shd w:val="clear" w:color="auto" w:fill="auto"/>
            <w:vAlign w:val="center"/>
            <w:hideMark/>
          </w:tcPr>
          <w:p w14:paraId="509590A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32.8</w:t>
            </w:r>
          </w:p>
        </w:tc>
        <w:tc>
          <w:tcPr>
            <w:tcW w:w="884" w:type="dxa"/>
            <w:tcBorders>
              <w:top w:val="nil"/>
              <w:left w:val="nil"/>
              <w:bottom w:val="single" w:sz="4" w:space="0" w:color="auto"/>
              <w:right w:val="single" w:sz="4" w:space="0" w:color="auto"/>
            </w:tcBorders>
            <w:shd w:val="clear" w:color="auto" w:fill="auto"/>
            <w:vAlign w:val="center"/>
            <w:hideMark/>
          </w:tcPr>
          <w:p w14:paraId="14DA97C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20.8</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5F2C9FC5" w14:textId="4FCAFFBA"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17.96</w:t>
            </w:r>
          </w:p>
        </w:tc>
        <w:tc>
          <w:tcPr>
            <w:tcW w:w="884" w:type="dxa"/>
            <w:tcBorders>
              <w:top w:val="nil"/>
              <w:left w:val="nil"/>
              <w:bottom w:val="single" w:sz="4" w:space="0" w:color="auto"/>
              <w:right w:val="single" w:sz="4" w:space="0" w:color="auto"/>
            </w:tcBorders>
            <w:shd w:val="clear" w:color="auto" w:fill="auto"/>
            <w:vAlign w:val="center"/>
            <w:hideMark/>
          </w:tcPr>
          <w:p w14:paraId="4DFA40E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14.3</w:t>
            </w:r>
          </w:p>
        </w:tc>
        <w:tc>
          <w:tcPr>
            <w:tcW w:w="884" w:type="dxa"/>
            <w:tcBorders>
              <w:top w:val="nil"/>
              <w:left w:val="nil"/>
              <w:bottom w:val="single" w:sz="4" w:space="0" w:color="auto"/>
              <w:right w:val="single" w:sz="4" w:space="0" w:color="auto"/>
            </w:tcBorders>
            <w:shd w:val="clear" w:color="auto" w:fill="auto"/>
            <w:vAlign w:val="center"/>
            <w:hideMark/>
          </w:tcPr>
          <w:p w14:paraId="1498ACD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18.2</w:t>
            </w:r>
          </w:p>
        </w:tc>
        <w:tc>
          <w:tcPr>
            <w:tcW w:w="884" w:type="dxa"/>
            <w:tcBorders>
              <w:top w:val="nil"/>
              <w:left w:val="nil"/>
              <w:bottom w:val="single" w:sz="4" w:space="0" w:color="auto"/>
              <w:right w:val="single" w:sz="4" w:space="0" w:color="auto"/>
            </w:tcBorders>
            <w:shd w:val="clear" w:color="auto" w:fill="auto"/>
            <w:vAlign w:val="center"/>
            <w:hideMark/>
          </w:tcPr>
          <w:p w14:paraId="402AB20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17.4</w:t>
            </w:r>
          </w:p>
        </w:tc>
        <w:tc>
          <w:tcPr>
            <w:tcW w:w="884" w:type="dxa"/>
            <w:tcBorders>
              <w:top w:val="nil"/>
              <w:left w:val="nil"/>
              <w:bottom w:val="single" w:sz="4" w:space="0" w:color="auto"/>
              <w:right w:val="single" w:sz="4" w:space="0" w:color="auto"/>
            </w:tcBorders>
            <w:shd w:val="clear" w:color="auto" w:fill="auto"/>
            <w:vAlign w:val="center"/>
            <w:hideMark/>
          </w:tcPr>
          <w:p w14:paraId="40FCAA2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3818A4C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26.1</w:t>
            </w:r>
          </w:p>
        </w:tc>
        <w:tc>
          <w:tcPr>
            <w:tcW w:w="884" w:type="dxa"/>
            <w:tcBorders>
              <w:top w:val="nil"/>
              <w:left w:val="nil"/>
              <w:bottom w:val="single" w:sz="4" w:space="0" w:color="auto"/>
              <w:right w:val="single" w:sz="4" w:space="0" w:color="auto"/>
            </w:tcBorders>
            <w:shd w:val="clear" w:color="auto" w:fill="auto"/>
            <w:vAlign w:val="center"/>
            <w:hideMark/>
          </w:tcPr>
          <w:p w14:paraId="24768E3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28.3</w:t>
            </w:r>
          </w:p>
        </w:tc>
        <w:tc>
          <w:tcPr>
            <w:tcW w:w="884" w:type="dxa"/>
            <w:tcBorders>
              <w:top w:val="nil"/>
              <w:left w:val="nil"/>
              <w:bottom w:val="single" w:sz="4" w:space="0" w:color="auto"/>
              <w:right w:val="single" w:sz="4" w:space="0" w:color="auto"/>
            </w:tcBorders>
            <w:shd w:val="clear" w:color="auto" w:fill="auto"/>
            <w:vAlign w:val="center"/>
            <w:hideMark/>
          </w:tcPr>
          <w:p w14:paraId="733A634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30.7</w:t>
            </w:r>
          </w:p>
        </w:tc>
        <w:tc>
          <w:tcPr>
            <w:tcW w:w="884" w:type="dxa"/>
            <w:tcBorders>
              <w:top w:val="nil"/>
              <w:left w:val="nil"/>
              <w:bottom w:val="single" w:sz="4" w:space="0" w:color="auto"/>
              <w:right w:val="single" w:sz="4" w:space="0" w:color="auto"/>
            </w:tcBorders>
            <w:shd w:val="clear" w:color="auto" w:fill="auto"/>
            <w:vAlign w:val="center"/>
            <w:hideMark/>
          </w:tcPr>
          <w:p w14:paraId="21FF03A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28.7</w:t>
            </w:r>
          </w:p>
        </w:tc>
        <w:tc>
          <w:tcPr>
            <w:tcW w:w="893" w:type="dxa"/>
            <w:tcBorders>
              <w:top w:val="nil"/>
              <w:left w:val="nil"/>
              <w:bottom w:val="single" w:sz="4" w:space="0" w:color="auto"/>
              <w:right w:val="single" w:sz="4" w:space="0" w:color="auto"/>
            </w:tcBorders>
            <w:shd w:val="clear" w:color="auto" w:fill="auto"/>
            <w:vAlign w:val="center"/>
            <w:hideMark/>
          </w:tcPr>
          <w:p w14:paraId="4F3B7F9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23.8</w:t>
            </w:r>
          </w:p>
        </w:tc>
        <w:tc>
          <w:tcPr>
            <w:tcW w:w="1294" w:type="dxa"/>
            <w:tcBorders>
              <w:top w:val="nil"/>
              <w:left w:val="nil"/>
              <w:bottom w:val="single" w:sz="4" w:space="0" w:color="auto"/>
              <w:right w:val="single" w:sz="4" w:space="0" w:color="auto"/>
            </w:tcBorders>
            <w:shd w:val="clear" w:color="auto" w:fill="auto"/>
            <w:vAlign w:val="center"/>
            <w:hideMark/>
          </w:tcPr>
          <w:p w14:paraId="389BD6D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D0AE2"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7B2AF28C"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64DC9F7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DT23</w:t>
            </w:r>
          </w:p>
        </w:tc>
        <w:tc>
          <w:tcPr>
            <w:tcW w:w="1073" w:type="dxa"/>
            <w:tcBorders>
              <w:top w:val="nil"/>
              <w:left w:val="nil"/>
              <w:bottom w:val="single" w:sz="4" w:space="0" w:color="auto"/>
              <w:right w:val="single" w:sz="4" w:space="0" w:color="auto"/>
            </w:tcBorders>
            <w:shd w:val="clear" w:color="auto" w:fill="auto"/>
            <w:vAlign w:val="center"/>
            <w:hideMark/>
          </w:tcPr>
          <w:p w14:paraId="7EDD660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434326</w:t>
            </w:r>
          </w:p>
        </w:tc>
        <w:tc>
          <w:tcPr>
            <w:tcW w:w="1183" w:type="dxa"/>
            <w:tcBorders>
              <w:top w:val="nil"/>
              <w:left w:val="nil"/>
              <w:bottom w:val="single" w:sz="4" w:space="0" w:color="auto"/>
              <w:right w:val="single" w:sz="4" w:space="0" w:color="auto"/>
            </w:tcBorders>
            <w:shd w:val="clear" w:color="auto" w:fill="auto"/>
            <w:vAlign w:val="center"/>
            <w:hideMark/>
          </w:tcPr>
          <w:p w14:paraId="0EA0DCD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563728</w:t>
            </w:r>
          </w:p>
        </w:tc>
        <w:tc>
          <w:tcPr>
            <w:tcW w:w="884" w:type="dxa"/>
            <w:tcBorders>
              <w:top w:val="nil"/>
              <w:left w:val="nil"/>
              <w:bottom w:val="single" w:sz="4" w:space="0" w:color="auto"/>
              <w:right w:val="single" w:sz="4" w:space="0" w:color="auto"/>
            </w:tcBorders>
            <w:shd w:val="clear" w:color="auto" w:fill="auto"/>
            <w:vAlign w:val="center"/>
            <w:hideMark/>
          </w:tcPr>
          <w:p w14:paraId="4C43D42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29.0</w:t>
            </w:r>
          </w:p>
        </w:tc>
        <w:tc>
          <w:tcPr>
            <w:tcW w:w="884" w:type="dxa"/>
            <w:tcBorders>
              <w:top w:val="nil"/>
              <w:left w:val="nil"/>
              <w:bottom w:val="single" w:sz="4" w:space="0" w:color="auto"/>
              <w:right w:val="single" w:sz="4" w:space="0" w:color="auto"/>
            </w:tcBorders>
            <w:shd w:val="clear" w:color="auto" w:fill="auto"/>
            <w:vAlign w:val="center"/>
            <w:hideMark/>
          </w:tcPr>
          <w:p w14:paraId="612FC08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2DBC3B89" w14:textId="4B4D8AF2"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17.90</w:t>
            </w:r>
          </w:p>
        </w:tc>
        <w:tc>
          <w:tcPr>
            <w:tcW w:w="884" w:type="dxa"/>
            <w:tcBorders>
              <w:top w:val="nil"/>
              <w:left w:val="nil"/>
              <w:bottom w:val="single" w:sz="4" w:space="0" w:color="auto"/>
              <w:right w:val="single" w:sz="4" w:space="0" w:color="auto"/>
            </w:tcBorders>
            <w:shd w:val="clear" w:color="auto" w:fill="auto"/>
            <w:vAlign w:val="center"/>
            <w:hideMark/>
          </w:tcPr>
          <w:p w14:paraId="2944BB0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17.7</w:t>
            </w:r>
          </w:p>
        </w:tc>
        <w:tc>
          <w:tcPr>
            <w:tcW w:w="884" w:type="dxa"/>
            <w:tcBorders>
              <w:top w:val="nil"/>
              <w:left w:val="nil"/>
              <w:bottom w:val="single" w:sz="4" w:space="0" w:color="auto"/>
              <w:right w:val="single" w:sz="4" w:space="0" w:color="auto"/>
            </w:tcBorders>
            <w:shd w:val="clear" w:color="auto" w:fill="auto"/>
            <w:vAlign w:val="center"/>
            <w:hideMark/>
          </w:tcPr>
          <w:p w14:paraId="4CC7E79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21.9</w:t>
            </w:r>
          </w:p>
        </w:tc>
        <w:tc>
          <w:tcPr>
            <w:tcW w:w="884" w:type="dxa"/>
            <w:tcBorders>
              <w:top w:val="nil"/>
              <w:left w:val="nil"/>
              <w:bottom w:val="single" w:sz="4" w:space="0" w:color="auto"/>
              <w:right w:val="single" w:sz="4" w:space="0" w:color="auto"/>
            </w:tcBorders>
            <w:shd w:val="clear" w:color="auto" w:fill="auto"/>
            <w:vAlign w:val="center"/>
            <w:hideMark/>
          </w:tcPr>
          <w:p w14:paraId="2C0C62D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17.4</w:t>
            </w:r>
          </w:p>
        </w:tc>
        <w:tc>
          <w:tcPr>
            <w:tcW w:w="884" w:type="dxa"/>
            <w:tcBorders>
              <w:top w:val="nil"/>
              <w:left w:val="nil"/>
              <w:bottom w:val="single" w:sz="4" w:space="0" w:color="auto"/>
              <w:right w:val="single" w:sz="4" w:space="0" w:color="auto"/>
            </w:tcBorders>
            <w:shd w:val="clear" w:color="auto" w:fill="auto"/>
            <w:vAlign w:val="center"/>
            <w:hideMark/>
          </w:tcPr>
          <w:p w14:paraId="7238F43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22.1</w:t>
            </w:r>
          </w:p>
        </w:tc>
        <w:tc>
          <w:tcPr>
            <w:tcW w:w="884" w:type="dxa"/>
            <w:tcBorders>
              <w:top w:val="nil"/>
              <w:left w:val="nil"/>
              <w:bottom w:val="single" w:sz="4" w:space="0" w:color="auto"/>
              <w:right w:val="single" w:sz="4" w:space="0" w:color="auto"/>
            </w:tcBorders>
            <w:shd w:val="clear" w:color="auto" w:fill="auto"/>
            <w:vAlign w:val="center"/>
            <w:hideMark/>
          </w:tcPr>
          <w:p w14:paraId="0DFF17C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28.8</w:t>
            </w:r>
          </w:p>
        </w:tc>
        <w:tc>
          <w:tcPr>
            <w:tcW w:w="884" w:type="dxa"/>
            <w:tcBorders>
              <w:top w:val="nil"/>
              <w:left w:val="nil"/>
              <w:bottom w:val="single" w:sz="4" w:space="0" w:color="auto"/>
              <w:right w:val="single" w:sz="4" w:space="0" w:color="auto"/>
            </w:tcBorders>
            <w:shd w:val="clear" w:color="auto" w:fill="auto"/>
            <w:vAlign w:val="center"/>
            <w:hideMark/>
          </w:tcPr>
          <w:p w14:paraId="0E40607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26.4</w:t>
            </w:r>
          </w:p>
        </w:tc>
        <w:tc>
          <w:tcPr>
            <w:tcW w:w="884" w:type="dxa"/>
            <w:tcBorders>
              <w:top w:val="nil"/>
              <w:left w:val="nil"/>
              <w:bottom w:val="single" w:sz="4" w:space="0" w:color="auto"/>
              <w:right w:val="single" w:sz="4" w:space="0" w:color="auto"/>
            </w:tcBorders>
            <w:shd w:val="clear" w:color="auto" w:fill="auto"/>
            <w:vAlign w:val="center"/>
            <w:hideMark/>
          </w:tcPr>
          <w:p w14:paraId="56C0DAD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30.7</w:t>
            </w:r>
          </w:p>
        </w:tc>
        <w:tc>
          <w:tcPr>
            <w:tcW w:w="884" w:type="dxa"/>
            <w:tcBorders>
              <w:top w:val="nil"/>
              <w:left w:val="nil"/>
              <w:bottom w:val="single" w:sz="4" w:space="0" w:color="auto"/>
              <w:right w:val="single" w:sz="4" w:space="0" w:color="auto"/>
            </w:tcBorders>
            <w:shd w:val="clear" w:color="auto" w:fill="auto"/>
            <w:vAlign w:val="center"/>
            <w:hideMark/>
          </w:tcPr>
          <w:p w14:paraId="3F994E3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32.1</w:t>
            </w:r>
          </w:p>
        </w:tc>
        <w:tc>
          <w:tcPr>
            <w:tcW w:w="893" w:type="dxa"/>
            <w:tcBorders>
              <w:top w:val="nil"/>
              <w:left w:val="nil"/>
              <w:bottom w:val="single" w:sz="4" w:space="0" w:color="auto"/>
              <w:right w:val="single" w:sz="4" w:space="0" w:color="auto"/>
            </w:tcBorders>
            <w:shd w:val="clear" w:color="auto" w:fill="auto"/>
            <w:vAlign w:val="center"/>
            <w:hideMark/>
          </w:tcPr>
          <w:p w14:paraId="775B60F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24.9</w:t>
            </w:r>
          </w:p>
        </w:tc>
        <w:tc>
          <w:tcPr>
            <w:tcW w:w="1294" w:type="dxa"/>
            <w:tcBorders>
              <w:top w:val="nil"/>
              <w:left w:val="nil"/>
              <w:bottom w:val="single" w:sz="4" w:space="0" w:color="auto"/>
              <w:right w:val="single" w:sz="4" w:space="0" w:color="auto"/>
            </w:tcBorders>
            <w:shd w:val="clear" w:color="auto" w:fill="auto"/>
            <w:vAlign w:val="center"/>
            <w:hideMark/>
          </w:tcPr>
          <w:p w14:paraId="07A39F4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31009"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11E7B5BE"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39A7D76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DT24</w:t>
            </w:r>
          </w:p>
        </w:tc>
        <w:tc>
          <w:tcPr>
            <w:tcW w:w="1073" w:type="dxa"/>
            <w:tcBorders>
              <w:top w:val="nil"/>
              <w:left w:val="nil"/>
              <w:bottom w:val="single" w:sz="4" w:space="0" w:color="auto"/>
              <w:right w:val="single" w:sz="4" w:space="0" w:color="auto"/>
            </w:tcBorders>
            <w:shd w:val="clear" w:color="auto" w:fill="auto"/>
            <w:vAlign w:val="center"/>
            <w:hideMark/>
          </w:tcPr>
          <w:p w14:paraId="7700401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434297</w:t>
            </w:r>
          </w:p>
        </w:tc>
        <w:tc>
          <w:tcPr>
            <w:tcW w:w="1183" w:type="dxa"/>
            <w:tcBorders>
              <w:top w:val="nil"/>
              <w:left w:val="nil"/>
              <w:bottom w:val="single" w:sz="4" w:space="0" w:color="auto"/>
              <w:right w:val="single" w:sz="4" w:space="0" w:color="auto"/>
            </w:tcBorders>
            <w:shd w:val="clear" w:color="auto" w:fill="auto"/>
            <w:vAlign w:val="center"/>
            <w:hideMark/>
          </w:tcPr>
          <w:p w14:paraId="5FA7CE3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563934</w:t>
            </w:r>
          </w:p>
        </w:tc>
        <w:tc>
          <w:tcPr>
            <w:tcW w:w="884" w:type="dxa"/>
            <w:tcBorders>
              <w:top w:val="nil"/>
              <w:left w:val="nil"/>
              <w:bottom w:val="single" w:sz="4" w:space="0" w:color="auto"/>
              <w:right w:val="single" w:sz="4" w:space="0" w:color="auto"/>
            </w:tcBorders>
            <w:shd w:val="clear" w:color="auto" w:fill="auto"/>
            <w:vAlign w:val="center"/>
            <w:hideMark/>
          </w:tcPr>
          <w:p w14:paraId="439E99E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31.4</w:t>
            </w:r>
          </w:p>
        </w:tc>
        <w:tc>
          <w:tcPr>
            <w:tcW w:w="884" w:type="dxa"/>
            <w:tcBorders>
              <w:top w:val="nil"/>
              <w:left w:val="nil"/>
              <w:bottom w:val="single" w:sz="4" w:space="0" w:color="auto"/>
              <w:right w:val="single" w:sz="4" w:space="0" w:color="auto"/>
            </w:tcBorders>
            <w:shd w:val="clear" w:color="auto" w:fill="auto"/>
            <w:vAlign w:val="center"/>
            <w:hideMark/>
          </w:tcPr>
          <w:p w14:paraId="3682F3C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29.0</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404B0D9B" w14:textId="18F918F9"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20.57</w:t>
            </w:r>
          </w:p>
        </w:tc>
        <w:tc>
          <w:tcPr>
            <w:tcW w:w="884" w:type="dxa"/>
            <w:tcBorders>
              <w:top w:val="nil"/>
              <w:left w:val="nil"/>
              <w:bottom w:val="single" w:sz="4" w:space="0" w:color="auto"/>
              <w:right w:val="single" w:sz="4" w:space="0" w:color="auto"/>
            </w:tcBorders>
            <w:shd w:val="clear" w:color="auto" w:fill="auto"/>
            <w:vAlign w:val="center"/>
            <w:hideMark/>
          </w:tcPr>
          <w:p w14:paraId="1A55B7D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21.3</w:t>
            </w:r>
          </w:p>
        </w:tc>
        <w:tc>
          <w:tcPr>
            <w:tcW w:w="884" w:type="dxa"/>
            <w:tcBorders>
              <w:top w:val="nil"/>
              <w:left w:val="nil"/>
              <w:bottom w:val="single" w:sz="4" w:space="0" w:color="auto"/>
              <w:right w:val="single" w:sz="4" w:space="0" w:color="auto"/>
            </w:tcBorders>
            <w:shd w:val="clear" w:color="auto" w:fill="auto"/>
            <w:vAlign w:val="center"/>
            <w:hideMark/>
          </w:tcPr>
          <w:p w14:paraId="657BA13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21.3</w:t>
            </w:r>
          </w:p>
        </w:tc>
        <w:tc>
          <w:tcPr>
            <w:tcW w:w="884" w:type="dxa"/>
            <w:tcBorders>
              <w:top w:val="nil"/>
              <w:left w:val="nil"/>
              <w:bottom w:val="single" w:sz="4" w:space="0" w:color="auto"/>
              <w:right w:val="single" w:sz="4" w:space="0" w:color="auto"/>
            </w:tcBorders>
            <w:shd w:val="clear" w:color="auto" w:fill="auto"/>
            <w:vAlign w:val="center"/>
            <w:hideMark/>
          </w:tcPr>
          <w:p w14:paraId="52E434C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18.0</w:t>
            </w:r>
          </w:p>
        </w:tc>
        <w:tc>
          <w:tcPr>
            <w:tcW w:w="884" w:type="dxa"/>
            <w:tcBorders>
              <w:top w:val="nil"/>
              <w:left w:val="nil"/>
              <w:bottom w:val="single" w:sz="4" w:space="0" w:color="auto"/>
              <w:right w:val="single" w:sz="4" w:space="0" w:color="auto"/>
            </w:tcBorders>
            <w:shd w:val="clear" w:color="auto" w:fill="auto"/>
            <w:vAlign w:val="center"/>
            <w:hideMark/>
          </w:tcPr>
          <w:p w14:paraId="17C8F3C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23.2</w:t>
            </w:r>
          </w:p>
        </w:tc>
        <w:tc>
          <w:tcPr>
            <w:tcW w:w="884" w:type="dxa"/>
            <w:tcBorders>
              <w:top w:val="nil"/>
              <w:left w:val="nil"/>
              <w:bottom w:val="single" w:sz="4" w:space="0" w:color="auto"/>
              <w:right w:val="single" w:sz="4" w:space="0" w:color="auto"/>
            </w:tcBorders>
            <w:shd w:val="clear" w:color="auto" w:fill="auto"/>
            <w:vAlign w:val="center"/>
            <w:hideMark/>
          </w:tcPr>
          <w:p w14:paraId="133C27E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32.7</w:t>
            </w:r>
          </w:p>
        </w:tc>
        <w:tc>
          <w:tcPr>
            <w:tcW w:w="884" w:type="dxa"/>
            <w:tcBorders>
              <w:top w:val="nil"/>
              <w:left w:val="nil"/>
              <w:bottom w:val="single" w:sz="4" w:space="0" w:color="auto"/>
              <w:right w:val="single" w:sz="4" w:space="0" w:color="auto"/>
            </w:tcBorders>
            <w:shd w:val="clear" w:color="auto" w:fill="auto"/>
            <w:vAlign w:val="center"/>
            <w:hideMark/>
          </w:tcPr>
          <w:p w14:paraId="05D48FC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35.1</w:t>
            </w:r>
          </w:p>
        </w:tc>
        <w:tc>
          <w:tcPr>
            <w:tcW w:w="884" w:type="dxa"/>
            <w:tcBorders>
              <w:top w:val="nil"/>
              <w:left w:val="nil"/>
              <w:bottom w:val="single" w:sz="4" w:space="0" w:color="auto"/>
              <w:right w:val="single" w:sz="4" w:space="0" w:color="auto"/>
            </w:tcBorders>
            <w:shd w:val="clear" w:color="auto" w:fill="auto"/>
            <w:vAlign w:val="center"/>
            <w:hideMark/>
          </w:tcPr>
          <w:p w14:paraId="469BC51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45.1</w:t>
            </w:r>
          </w:p>
        </w:tc>
        <w:tc>
          <w:tcPr>
            <w:tcW w:w="884" w:type="dxa"/>
            <w:tcBorders>
              <w:top w:val="nil"/>
              <w:left w:val="nil"/>
              <w:bottom w:val="single" w:sz="4" w:space="0" w:color="auto"/>
              <w:right w:val="single" w:sz="4" w:space="0" w:color="auto"/>
            </w:tcBorders>
            <w:shd w:val="clear" w:color="auto" w:fill="auto"/>
            <w:vAlign w:val="center"/>
            <w:hideMark/>
          </w:tcPr>
          <w:p w14:paraId="60E4E55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37.0</w:t>
            </w:r>
          </w:p>
        </w:tc>
        <w:tc>
          <w:tcPr>
            <w:tcW w:w="893" w:type="dxa"/>
            <w:tcBorders>
              <w:top w:val="nil"/>
              <w:left w:val="nil"/>
              <w:bottom w:val="single" w:sz="4" w:space="0" w:color="auto"/>
              <w:right w:val="single" w:sz="4" w:space="0" w:color="auto"/>
            </w:tcBorders>
            <w:shd w:val="clear" w:color="auto" w:fill="auto"/>
            <w:vAlign w:val="center"/>
            <w:hideMark/>
          </w:tcPr>
          <w:p w14:paraId="483FEAB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29.1</w:t>
            </w:r>
          </w:p>
        </w:tc>
        <w:tc>
          <w:tcPr>
            <w:tcW w:w="1294" w:type="dxa"/>
            <w:tcBorders>
              <w:top w:val="nil"/>
              <w:left w:val="nil"/>
              <w:bottom w:val="single" w:sz="4" w:space="0" w:color="auto"/>
              <w:right w:val="single" w:sz="4" w:space="0" w:color="auto"/>
            </w:tcBorders>
            <w:shd w:val="clear" w:color="auto" w:fill="auto"/>
            <w:vAlign w:val="center"/>
            <w:hideMark/>
          </w:tcPr>
          <w:p w14:paraId="571D393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8C3AE"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1C4DEF6D"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0133F11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DT25</w:t>
            </w:r>
          </w:p>
        </w:tc>
        <w:tc>
          <w:tcPr>
            <w:tcW w:w="1073" w:type="dxa"/>
            <w:tcBorders>
              <w:top w:val="nil"/>
              <w:left w:val="nil"/>
              <w:bottom w:val="single" w:sz="4" w:space="0" w:color="auto"/>
              <w:right w:val="single" w:sz="4" w:space="0" w:color="auto"/>
            </w:tcBorders>
            <w:shd w:val="clear" w:color="auto" w:fill="auto"/>
            <w:vAlign w:val="center"/>
            <w:hideMark/>
          </w:tcPr>
          <w:p w14:paraId="40B512F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434376</w:t>
            </w:r>
          </w:p>
        </w:tc>
        <w:tc>
          <w:tcPr>
            <w:tcW w:w="1183" w:type="dxa"/>
            <w:tcBorders>
              <w:top w:val="nil"/>
              <w:left w:val="nil"/>
              <w:bottom w:val="single" w:sz="4" w:space="0" w:color="auto"/>
              <w:right w:val="single" w:sz="4" w:space="0" w:color="auto"/>
            </w:tcBorders>
            <w:shd w:val="clear" w:color="auto" w:fill="auto"/>
            <w:vAlign w:val="center"/>
            <w:hideMark/>
          </w:tcPr>
          <w:p w14:paraId="7DA5612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563955</w:t>
            </w:r>
          </w:p>
        </w:tc>
        <w:tc>
          <w:tcPr>
            <w:tcW w:w="884" w:type="dxa"/>
            <w:tcBorders>
              <w:top w:val="nil"/>
              <w:left w:val="nil"/>
              <w:bottom w:val="single" w:sz="4" w:space="0" w:color="auto"/>
              <w:right w:val="single" w:sz="4" w:space="0" w:color="auto"/>
            </w:tcBorders>
            <w:shd w:val="clear" w:color="auto" w:fill="auto"/>
            <w:vAlign w:val="center"/>
            <w:hideMark/>
          </w:tcPr>
          <w:p w14:paraId="4C8BF44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31.9</w:t>
            </w:r>
          </w:p>
        </w:tc>
        <w:tc>
          <w:tcPr>
            <w:tcW w:w="884" w:type="dxa"/>
            <w:tcBorders>
              <w:top w:val="nil"/>
              <w:left w:val="nil"/>
              <w:bottom w:val="single" w:sz="4" w:space="0" w:color="auto"/>
              <w:right w:val="single" w:sz="4" w:space="0" w:color="auto"/>
            </w:tcBorders>
            <w:shd w:val="clear" w:color="auto" w:fill="auto"/>
            <w:vAlign w:val="center"/>
            <w:hideMark/>
          </w:tcPr>
          <w:p w14:paraId="3027E23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23.0</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59239A12" w14:textId="538C8C52"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17.28</w:t>
            </w:r>
          </w:p>
        </w:tc>
        <w:tc>
          <w:tcPr>
            <w:tcW w:w="884" w:type="dxa"/>
            <w:tcBorders>
              <w:top w:val="nil"/>
              <w:left w:val="nil"/>
              <w:bottom w:val="single" w:sz="4" w:space="0" w:color="auto"/>
              <w:right w:val="single" w:sz="4" w:space="0" w:color="auto"/>
            </w:tcBorders>
            <w:shd w:val="clear" w:color="auto" w:fill="auto"/>
            <w:vAlign w:val="center"/>
            <w:hideMark/>
          </w:tcPr>
          <w:p w14:paraId="45DA9CE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17.2</w:t>
            </w:r>
          </w:p>
        </w:tc>
        <w:tc>
          <w:tcPr>
            <w:tcW w:w="884" w:type="dxa"/>
            <w:tcBorders>
              <w:top w:val="nil"/>
              <w:left w:val="nil"/>
              <w:bottom w:val="single" w:sz="4" w:space="0" w:color="auto"/>
              <w:right w:val="single" w:sz="4" w:space="0" w:color="auto"/>
            </w:tcBorders>
            <w:shd w:val="clear" w:color="auto" w:fill="auto"/>
            <w:vAlign w:val="center"/>
            <w:hideMark/>
          </w:tcPr>
          <w:p w14:paraId="6EC10C4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23.3</w:t>
            </w:r>
          </w:p>
        </w:tc>
        <w:tc>
          <w:tcPr>
            <w:tcW w:w="884" w:type="dxa"/>
            <w:tcBorders>
              <w:top w:val="nil"/>
              <w:left w:val="nil"/>
              <w:bottom w:val="single" w:sz="4" w:space="0" w:color="auto"/>
              <w:right w:val="single" w:sz="4" w:space="0" w:color="auto"/>
            </w:tcBorders>
            <w:shd w:val="clear" w:color="auto" w:fill="auto"/>
            <w:vAlign w:val="center"/>
            <w:hideMark/>
          </w:tcPr>
          <w:p w14:paraId="7F00BD8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24.2</w:t>
            </w:r>
          </w:p>
        </w:tc>
        <w:tc>
          <w:tcPr>
            <w:tcW w:w="884" w:type="dxa"/>
            <w:tcBorders>
              <w:top w:val="nil"/>
              <w:left w:val="nil"/>
              <w:bottom w:val="single" w:sz="4" w:space="0" w:color="auto"/>
              <w:right w:val="single" w:sz="4" w:space="0" w:color="auto"/>
            </w:tcBorders>
            <w:shd w:val="clear" w:color="auto" w:fill="auto"/>
            <w:vAlign w:val="center"/>
            <w:hideMark/>
          </w:tcPr>
          <w:p w14:paraId="5A73FE0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26.7</w:t>
            </w:r>
          </w:p>
        </w:tc>
        <w:tc>
          <w:tcPr>
            <w:tcW w:w="884" w:type="dxa"/>
            <w:tcBorders>
              <w:top w:val="nil"/>
              <w:left w:val="nil"/>
              <w:bottom w:val="single" w:sz="4" w:space="0" w:color="auto"/>
              <w:right w:val="single" w:sz="4" w:space="0" w:color="auto"/>
            </w:tcBorders>
            <w:shd w:val="clear" w:color="auto" w:fill="auto"/>
            <w:vAlign w:val="center"/>
            <w:hideMark/>
          </w:tcPr>
          <w:p w14:paraId="2EE4EA2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29.9</w:t>
            </w:r>
          </w:p>
        </w:tc>
        <w:tc>
          <w:tcPr>
            <w:tcW w:w="884" w:type="dxa"/>
            <w:tcBorders>
              <w:top w:val="nil"/>
              <w:left w:val="nil"/>
              <w:bottom w:val="single" w:sz="4" w:space="0" w:color="auto"/>
              <w:right w:val="single" w:sz="4" w:space="0" w:color="auto"/>
            </w:tcBorders>
            <w:shd w:val="clear" w:color="auto" w:fill="auto"/>
            <w:vAlign w:val="center"/>
            <w:hideMark/>
          </w:tcPr>
          <w:p w14:paraId="1EF76F9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29.5</w:t>
            </w:r>
          </w:p>
        </w:tc>
        <w:tc>
          <w:tcPr>
            <w:tcW w:w="884" w:type="dxa"/>
            <w:tcBorders>
              <w:top w:val="nil"/>
              <w:left w:val="nil"/>
              <w:bottom w:val="single" w:sz="4" w:space="0" w:color="auto"/>
              <w:right w:val="single" w:sz="4" w:space="0" w:color="auto"/>
            </w:tcBorders>
            <w:shd w:val="clear" w:color="auto" w:fill="auto"/>
            <w:vAlign w:val="center"/>
            <w:hideMark/>
          </w:tcPr>
          <w:p w14:paraId="1581187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35.0</w:t>
            </w:r>
          </w:p>
        </w:tc>
        <w:tc>
          <w:tcPr>
            <w:tcW w:w="884" w:type="dxa"/>
            <w:tcBorders>
              <w:top w:val="nil"/>
              <w:left w:val="nil"/>
              <w:bottom w:val="single" w:sz="4" w:space="0" w:color="auto"/>
              <w:right w:val="single" w:sz="4" w:space="0" w:color="auto"/>
            </w:tcBorders>
            <w:shd w:val="clear" w:color="auto" w:fill="auto"/>
            <w:vAlign w:val="center"/>
            <w:hideMark/>
          </w:tcPr>
          <w:p w14:paraId="1494B64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26.5</w:t>
            </w:r>
          </w:p>
        </w:tc>
        <w:tc>
          <w:tcPr>
            <w:tcW w:w="893" w:type="dxa"/>
            <w:tcBorders>
              <w:top w:val="nil"/>
              <w:left w:val="nil"/>
              <w:bottom w:val="single" w:sz="4" w:space="0" w:color="auto"/>
              <w:right w:val="single" w:sz="4" w:space="0" w:color="auto"/>
            </w:tcBorders>
            <w:shd w:val="clear" w:color="auto" w:fill="auto"/>
            <w:vAlign w:val="center"/>
            <w:hideMark/>
          </w:tcPr>
          <w:p w14:paraId="2821468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26.4</w:t>
            </w:r>
          </w:p>
        </w:tc>
        <w:tc>
          <w:tcPr>
            <w:tcW w:w="1294" w:type="dxa"/>
            <w:tcBorders>
              <w:top w:val="nil"/>
              <w:left w:val="nil"/>
              <w:bottom w:val="single" w:sz="4" w:space="0" w:color="auto"/>
              <w:right w:val="single" w:sz="4" w:space="0" w:color="auto"/>
            </w:tcBorders>
            <w:shd w:val="clear" w:color="auto" w:fill="auto"/>
            <w:vAlign w:val="center"/>
            <w:hideMark/>
          </w:tcPr>
          <w:p w14:paraId="1F9AFA7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7547"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16CC3AD2"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74E6D8C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DT26</w:t>
            </w:r>
          </w:p>
        </w:tc>
        <w:tc>
          <w:tcPr>
            <w:tcW w:w="1073" w:type="dxa"/>
            <w:tcBorders>
              <w:top w:val="nil"/>
              <w:left w:val="nil"/>
              <w:bottom w:val="single" w:sz="4" w:space="0" w:color="auto"/>
              <w:right w:val="single" w:sz="4" w:space="0" w:color="auto"/>
            </w:tcBorders>
            <w:shd w:val="clear" w:color="auto" w:fill="auto"/>
            <w:vAlign w:val="center"/>
            <w:hideMark/>
          </w:tcPr>
          <w:p w14:paraId="57171C4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434298</w:t>
            </w:r>
          </w:p>
        </w:tc>
        <w:tc>
          <w:tcPr>
            <w:tcW w:w="1183" w:type="dxa"/>
            <w:tcBorders>
              <w:top w:val="nil"/>
              <w:left w:val="nil"/>
              <w:bottom w:val="single" w:sz="4" w:space="0" w:color="auto"/>
              <w:right w:val="single" w:sz="4" w:space="0" w:color="auto"/>
            </w:tcBorders>
            <w:shd w:val="clear" w:color="auto" w:fill="auto"/>
            <w:vAlign w:val="center"/>
            <w:hideMark/>
          </w:tcPr>
          <w:p w14:paraId="2CA42BC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563970</w:t>
            </w:r>
          </w:p>
        </w:tc>
        <w:tc>
          <w:tcPr>
            <w:tcW w:w="884" w:type="dxa"/>
            <w:tcBorders>
              <w:top w:val="nil"/>
              <w:left w:val="nil"/>
              <w:bottom w:val="single" w:sz="4" w:space="0" w:color="auto"/>
              <w:right w:val="single" w:sz="4" w:space="0" w:color="auto"/>
            </w:tcBorders>
            <w:shd w:val="clear" w:color="auto" w:fill="auto"/>
            <w:vAlign w:val="center"/>
            <w:hideMark/>
          </w:tcPr>
          <w:p w14:paraId="312F56C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43.3</w:t>
            </w:r>
          </w:p>
        </w:tc>
        <w:tc>
          <w:tcPr>
            <w:tcW w:w="884" w:type="dxa"/>
            <w:tcBorders>
              <w:top w:val="nil"/>
              <w:left w:val="nil"/>
              <w:bottom w:val="single" w:sz="4" w:space="0" w:color="auto"/>
              <w:right w:val="single" w:sz="4" w:space="0" w:color="auto"/>
            </w:tcBorders>
            <w:shd w:val="clear" w:color="auto" w:fill="auto"/>
            <w:vAlign w:val="center"/>
            <w:hideMark/>
          </w:tcPr>
          <w:p w14:paraId="00216EC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24.5</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08BD9E0C" w14:textId="03282762"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18.26</w:t>
            </w:r>
          </w:p>
        </w:tc>
        <w:tc>
          <w:tcPr>
            <w:tcW w:w="884" w:type="dxa"/>
            <w:tcBorders>
              <w:top w:val="nil"/>
              <w:left w:val="nil"/>
              <w:bottom w:val="single" w:sz="4" w:space="0" w:color="auto"/>
              <w:right w:val="single" w:sz="4" w:space="0" w:color="auto"/>
            </w:tcBorders>
            <w:shd w:val="clear" w:color="auto" w:fill="auto"/>
            <w:vAlign w:val="center"/>
            <w:hideMark/>
          </w:tcPr>
          <w:p w14:paraId="6D64F38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16.2</w:t>
            </w:r>
          </w:p>
        </w:tc>
        <w:tc>
          <w:tcPr>
            <w:tcW w:w="884" w:type="dxa"/>
            <w:tcBorders>
              <w:top w:val="nil"/>
              <w:left w:val="nil"/>
              <w:bottom w:val="single" w:sz="4" w:space="0" w:color="auto"/>
              <w:right w:val="single" w:sz="4" w:space="0" w:color="auto"/>
            </w:tcBorders>
            <w:shd w:val="clear" w:color="auto" w:fill="auto"/>
            <w:vAlign w:val="center"/>
            <w:hideMark/>
          </w:tcPr>
          <w:p w14:paraId="54E01CB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19.7</w:t>
            </w:r>
          </w:p>
        </w:tc>
        <w:tc>
          <w:tcPr>
            <w:tcW w:w="884" w:type="dxa"/>
            <w:tcBorders>
              <w:top w:val="nil"/>
              <w:left w:val="nil"/>
              <w:bottom w:val="single" w:sz="4" w:space="0" w:color="auto"/>
              <w:right w:val="single" w:sz="4" w:space="0" w:color="auto"/>
            </w:tcBorders>
            <w:shd w:val="clear" w:color="auto" w:fill="auto"/>
            <w:vAlign w:val="center"/>
            <w:hideMark/>
          </w:tcPr>
          <w:p w14:paraId="34BBB1F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20.0</w:t>
            </w:r>
          </w:p>
        </w:tc>
        <w:tc>
          <w:tcPr>
            <w:tcW w:w="884" w:type="dxa"/>
            <w:tcBorders>
              <w:top w:val="nil"/>
              <w:left w:val="nil"/>
              <w:bottom w:val="single" w:sz="4" w:space="0" w:color="auto"/>
              <w:right w:val="single" w:sz="4" w:space="0" w:color="auto"/>
            </w:tcBorders>
            <w:shd w:val="clear" w:color="auto" w:fill="auto"/>
            <w:vAlign w:val="center"/>
            <w:hideMark/>
          </w:tcPr>
          <w:p w14:paraId="1FA71DC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24.8</w:t>
            </w:r>
          </w:p>
        </w:tc>
        <w:tc>
          <w:tcPr>
            <w:tcW w:w="884" w:type="dxa"/>
            <w:tcBorders>
              <w:top w:val="nil"/>
              <w:left w:val="nil"/>
              <w:bottom w:val="single" w:sz="4" w:space="0" w:color="auto"/>
              <w:right w:val="single" w:sz="4" w:space="0" w:color="auto"/>
            </w:tcBorders>
            <w:shd w:val="clear" w:color="auto" w:fill="auto"/>
            <w:vAlign w:val="center"/>
            <w:hideMark/>
          </w:tcPr>
          <w:p w14:paraId="692D6AD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26.9</w:t>
            </w:r>
          </w:p>
        </w:tc>
        <w:tc>
          <w:tcPr>
            <w:tcW w:w="884" w:type="dxa"/>
            <w:tcBorders>
              <w:top w:val="nil"/>
              <w:left w:val="nil"/>
              <w:bottom w:val="single" w:sz="4" w:space="0" w:color="auto"/>
              <w:right w:val="single" w:sz="4" w:space="0" w:color="auto"/>
            </w:tcBorders>
            <w:shd w:val="clear" w:color="auto" w:fill="auto"/>
            <w:vAlign w:val="center"/>
            <w:hideMark/>
          </w:tcPr>
          <w:p w14:paraId="0E68083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26.8</w:t>
            </w:r>
          </w:p>
        </w:tc>
        <w:tc>
          <w:tcPr>
            <w:tcW w:w="884" w:type="dxa"/>
            <w:tcBorders>
              <w:top w:val="nil"/>
              <w:left w:val="nil"/>
              <w:bottom w:val="single" w:sz="4" w:space="0" w:color="auto"/>
              <w:right w:val="single" w:sz="4" w:space="0" w:color="auto"/>
            </w:tcBorders>
            <w:shd w:val="clear" w:color="auto" w:fill="auto"/>
            <w:vAlign w:val="center"/>
            <w:hideMark/>
          </w:tcPr>
          <w:p w14:paraId="480F8DC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35.1</w:t>
            </w:r>
          </w:p>
        </w:tc>
        <w:tc>
          <w:tcPr>
            <w:tcW w:w="884" w:type="dxa"/>
            <w:tcBorders>
              <w:top w:val="nil"/>
              <w:left w:val="nil"/>
              <w:bottom w:val="single" w:sz="4" w:space="0" w:color="auto"/>
              <w:right w:val="single" w:sz="4" w:space="0" w:color="auto"/>
            </w:tcBorders>
            <w:shd w:val="clear" w:color="auto" w:fill="auto"/>
            <w:vAlign w:val="center"/>
            <w:hideMark/>
          </w:tcPr>
          <w:p w14:paraId="17BEF1C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32.9</w:t>
            </w:r>
          </w:p>
        </w:tc>
        <w:tc>
          <w:tcPr>
            <w:tcW w:w="893" w:type="dxa"/>
            <w:tcBorders>
              <w:top w:val="nil"/>
              <w:left w:val="nil"/>
              <w:bottom w:val="single" w:sz="4" w:space="0" w:color="auto"/>
              <w:right w:val="single" w:sz="4" w:space="0" w:color="auto"/>
            </w:tcBorders>
            <w:shd w:val="clear" w:color="auto" w:fill="auto"/>
            <w:vAlign w:val="center"/>
            <w:hideMark/>
          </w:tcPr>
          <w:p w14:paraId="134EE52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26.7</w:t>
            </w:r>
          </w:p>
        </w:tc>
        <w:tc>
          <w:tcPr>
            <w:tcW w:w="1294" w:type="dxa"/>
            <w:tcBorders>
              <w:top w:val="nil"/>
              <w:left w:val="nil"/>
              <w:bottom w:val="single" w:sz="4" w:space="0" w:color="auto"/>
              <w:right w:val="single" w:sz="4" w:space="0" w:color="auto"/>
            </w:tcBorders>
            <w:shd w:val="clear" w:color="auto" w:fill="auto"/>
            <w:vAlign w:val="center"/>
            <w:hideMark/>
          </w:tcPr>
          <w:p w14:paraId="54BA761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13789"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20617546"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33F938A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DT27</w:t>
            </w:r>
          </w:p>
        </w:tc>
        <w:tc>
          <w:tcPr>
            <w:tcW w:w="1073" w:type="dxa"/>
            <w:tcBorders>
              <w:top w:val="nil"/>
              <w:left w:val="nil"/>
              <w:bottom w:val="single" w:sz="4" w:space="0" w:color="auto"/>
              <w:right w:val="single" w:sz="4" w:space="0" w:color="auto"/>
            </w:tcBorders>
            <w:shd w:val="clear" w:color="auto" w:fill="auto"/>
            <w:vAlign w:val="center"/>
            <w:hideMark/>
          </w:tcPr>
          <w:p w14:paraId="7AFFE2A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435321</w:t>
            </w:r>
          </w:p>
        </w:tc>
        <w:tc>
          <w:tcPr>
            <w:tcW w:w="1183" w:type="dxa"/>
            <w:tcBorders>
              <w:top w:val="nil"/>
              <w:left w:val="nil"/>
              <w:bottom w:val="single" w:sz="4" w:space="0" w:color="auto"/>
              <w:right w:val="single" w:sz="4" w:space="0" w:color="auto"/>
            </w:tcBorders>
            <w:shd w:val="clear" w:color="auto" w:fill="auto"/>
            <w:vAlign w:val="center"/>
            <w:hideMark/>
          </w:tcPr>
          <w:p w14:paraId="45A79F3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564843</w:t>
            </w:r>
          </w:p>
        </w:tc>
        <w:tc>
          <w:tcPr>
            <w:tcW w:w="884" w:type="dxa"/>
            <w:tcBorders>
              <w:top w:val="nil"/>
              <w:left w:val="nil"/>
              <w:bottom w:val="single" w:sz="4" w:space="0" w:color="auto"/>
              <w:right w:val="single" w:sz="4" w:space="0" w:color="auto"/>
            </w:tcBorders>
            <w:shd w:val="clear" w:color="auto" w:fill="auto"/>
            <w:vAlign w:val="center"/>
            <w:hideMark/>
          </w:tcPr>
          <w:p w14:paraId="4A9342B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39.3</w:t>
            </w:r>
          </w:p>
        </w:tc>
        <w:tc>
          <w:tcPr>
            <w:tcW w:w="884" w:type="dxa"/>
            <w:tcBorders>
              <w:top w:val="nil"/>
              <w:left w:val="nil"/>
              <w:bottom w:val="single" w:sz="4" w:space="0" w:color="auto"/>
              <w:right w:val="single" w:sz="4" w:space="0" w:color="auto"/>
            </w:tcBorders>
            <w:shd w:val="clear" w:color="auto" w:fill="auto"/>
            <w:vAlign w:val="center"/>
            <w:hideMark/>
          </w:tcPr>
          <w:p w14:paraId="0E73427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26.9</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59F69616" w14:textId="3CCCE987"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27.41</w:t>
            </w:r>
          </w:p>
        </w:tc>
        <w:tc>
          <w:tcPr>
            <w:tcW w:w="884" w:type="dxa"/>
            <w:tcBorders>
              <w:top w:val="nil"/>
              <w:left w:val="nil"/>
              <w:bottom w:val="single" w:sz="4" w:space="0" w:color="auto"/>
              <w:right w:val="single" w:sz="4" w:space="0" w:color="auto"/>
            </w:tcBorders>
            <w:shd w:val="clear" w:color="auto" w:fill="auto"/>
            <w:vAlign w:val="center"/>
            <w:hideMark/>
          </w:tcPr>
          <w:p w14:paraId="63E8A33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27.8</w:t>
            </w:r>
          </w:p>
        </w:tc>
        <w:tc>
          <w:tcPr>
            <w:tcW w:w="884" w:type="dxa"/>
            <w:tcBorders>
              <w:top w:val="nil"/>
              <w:left w:val="nil"/>
              <w:bottom w:val="single" w:sz="4" w:space="0" w:color="auto"/>
              <w:right w:val="single" w:sz="4" w:space="0" w:color="auto"/>
            </w:tcBorders>
            <w:shd w:val="clear" w:color="auto" w:fill="auto"/>
            <w:vAlign w:val="center"/>
            <w:hideMark/>
          </w:tcPr>
          <w:p w14:paraId="6ECAF51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32.1</w:t>
            </w:r>
          </w:p>
        </w:tc>
        <w:tc>
          <w:tcPr>
            <w:tcW w:w="884" w:type="dxa"/>
            <w:tcBorders>
              <w:top w:val="nil"/>
              <w:left w:val="nil"/>
              <w:bottom w:val="single" w:sz="4" w:space="0" w:color="auto"/>
              <w:right w:val="single" w:sz="4" w:space="0" w:color="auto"/>
            </w:tcBorders>
            <w:shd w:val="clear" w:color="auto" w:fill="auto"/>
            <w:vAlign w:val="center"/>
            <w:hideMark/>
          </w:tcPr>
          <w:p w14:paraId="7B2920F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18.0</w:t>
            </w:r>
          </w:p>
        </w:tc>
        <w:tc>
          <w:tcPr>
            <w:tcW w:w="884" w:type="dxa"/>
            <w:tcBorders>
              <w:top w:val="nil"/>
              <w:left w:val="nil"/>
              <w:bottom w:val="single" w:sz="4" w:space="0" w:color="auto"/>
              <w:right w:val="single" w:sz="4" w:space="0" w:color="auto"/>
            </w:tcBorders>
            <w:shd w:val="clear" w:color="auto" w:fill="auto"/>
            <w:vAlign w:val="center"/>
            <w:hideMark/>
          </w:tcPr>
          <w:p w14:paraId="73E3553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20.9</w:t>
            </w:r>
          </w:p>
        </w:tc>
        <w:tc>
          <w:tcPr>
            <w:tcW w:w="884" w:type="dxa"/>
            <w:tcBorders>
              <w:top w:val="nil"/>
              <w:left w:val="nil"/>
              <w:bottom w:val="single" w:sz="4" w:space="0" w:color="auto"/>
              <w:right w:val="single" w:sz="4" w:space="0" w:color="auto"/>
            </w:tcBorders>
            <w:shd w:val="clear" w:color="auto" w:fill="auto"/>
            <w:vAlign w:val="center"/>
            <w:hideMark/>
          </w:tcPr>
          <w:p w14:paraId="7348E79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35.0</w:t>
            </w:r>
          </w:p>
        </w:tc>
        <w:tc>
          <w:tcPr>
            <w:tcW w:w="884" w:type="dxa"/>
            <w:tcBorders>
              <w:top w:val="nil"/>
              <w:left w:val="nil"/>
              <w:bottom w:val="single" w:sz="4" w:space="0" w:color="auto"/>
              <w:right w:val="single" w:sz="4" w:space="0" w:color="auto"/>
            </w:tcBorders>
            <w:shd w:val="clear" w:color="auto" w:fill="auto"/>
            <w:vAlign w:val="center"/>
            <w:hideMark/>
          </w:tcPr>
          <w:p w14:paraId="4EE93FC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32.9</w:t>
            </w:r>
          </w:p>
        </w:tc>
        <w:tc>
          <w:tcPr>
            <w:tcW w:w="884" w:type="dxa"/>
            <w:tcBorders>
              <w:top w:val="nil"/>
              <w:left w:val="nil"/>
              <w:bottom w:val="single" w:sz="4" w:space="0" w:color="auto"/>
              <w:right w:val="single" w:sz="4" w:space="0" w:color="auto"/>
            </w:tcBorders>
            <w:shd w:val="clear" w:color="auto" w:fill="auto"/>
            <w:vAlign w:val="center"/>
            <w:hideMark/>
          </w:tcPr>
          <w:p w14:paraId="6540B0D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42.6</w:t>
            </w:r>
          </w:p>
        </w:tc>
        <w:tc>
          <w:tcPr>
            <w:tcW w:w="884" w:type="dxa"/>
            <w:tcBorders>
              <w:top w:val="nil"/>
              <w:left w:val="nil"/>
              <w:bottom w:val="single" w:sz="4" w:space="0" w:color="auto"/>
              <w:right w:val="single" w:sz="4" w:space="0" w:color="auto"/>
            </w:tcBorders>
            <w:shd w:val="clear" w:color="auto" w:fill="auto"/>
            <w:vAlign w:val="center"/>
            <w:hideMark/>
          </w:tcPr>
          <w:p w14:paraId="7DCD62D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39.0</w:t>
            </w:r>
          </w:p>
        </w:tc>
        <w:tc>
          <w:tcPr>
            <w:tcW w:w="893" w:type="dxa"/>
            <w:tcBorders>
              <w:top w:val="nil"/>
              <w:left w:val="nil"/>
              <w:bottom w:val="single" w:sz="4" w:space="0" w:color="auto"/>
              <w:right w:val="single" w:sz="4" w:space="0" w:color="auto"/>
            </w:tcBorders>
            <w:shd w:val="clear" w:color="auto" w:fill="auto"/>
            <w:vAlign w:val="center"/>
            <w:hideMark/>
          </w:tcPr>
          <w:p w14:paraId="4B552B5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30.9</w:t>
            </w:r>
          </w:p>
        </w:tc>
        <w:tc>
          <w:tcPr>
            <w:tcW w:w="1294" w:type="dxa"/>
            <w:tcBorders>
              <w:top w:val="nil"/>
              <w:left w:val="nil"/>
              <w:bottom w:val="single" w:sz="4" w:space="0" w:color="auto"/>
              <w:right w:val="single" w:sz="4" w:space="0" w:color="auto"/>
            </w:tcBorders>
            <w:shd w:val="clear" w:color="auto" w:fill="auto"/>
            <w:vAlign w:val="center"/>
            <w:hideMark/>
          </w:tcPr>
          <w:p w14:paraId="1D6D929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D4B61"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02475D95"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55DCB84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DT28</w:t>
            </w:r>
          </w:p>
        </w:tc>
        <w:tc>
          <w:tcPr>
            <w:tcW w:w="1073" w:type="dxa"/>
            <w:tcBorders>
              <w:top w:val="nil"/>
              <w:left w:val="nil"/>
              <w:bottom w:val="single" w:sz="4" w:space="0" w:color="auto"/>
              <w:right w:val="single" w:sz="4" w:space="0" w:color="auto"/>
            </w:tcBorders>
            <w:shd w:val="clear" w:color="auto" w:fill="auto"/>
            <w:vAlign w:val="center"/>
            <w:hideMark/>
          </w:tcPr>
          <w:p w14:paraId="0F9637F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435605</w:t>
            </w:r>
          </w:p>
        </w:tc>
        <w:tc>
          <w:tcPr>
            <w:tcW w:w="1183" w:type="dxa"/>
            <w:tcBorders>
              <w:top w:val="nil"/>
              <w:left w:val="nil"/>
              <w:bottom w:val="single" w:sz="4" w:space="0" w:color="auto"/>
              <w:right w:val="single" w:sz="4" w:space="0" w:color="auto"/>
            </w:tcBorders>
            <w:shd w:val="clear" w:color="auto" w:fill="auto"/>
            <w:vAlign w:val="center"/>
            <w:hideMark/>
          </w:tcPr>
          <w:p w14:paraId="10EDACB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565290</w:t>
            </w:r>
          </w:p>
        </w:tc>
        <w:tc>
          <w:tcPr>
            <w:tcW w:w="884" w:type="dxa"/>
            <w:tcBorders>
              <w:top w:val="nil"/>
              <w:left w:val="nil"/>
              <w:bottom w:val="single" w:sz="4" w:space="0" w:color="auto"/>
              <w:right w:val="single" w:sz="4" w:space="0" w:color="auto"/>
            </w:tcBorders>
            <w:shd w:val="clear" w:color="auto" w:fill="auto"/>
            <w:vAlign w:val="center"/>
            <w:hideMark/>
          </w:tcPr>
          <w:p w14:paraId="0908965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26.2</w:t>
            </w:r>
          </w:p>
        </w:tc>
        <w:tc>
          <w:tcPr>
            <w:tcW w:w="884" w:type="dxa"/>
            <w:tcBorders>
              <w:top w:val="nil"/>
              <w:left w:val="nil"/>
              <w:bottom w:val="single" w:sz="4" w:space="0" w:color="auto"/>
              <w:right w:val="single" w:sz="4" w:space="0" w:color="auto"/>
            </w:tcBorders>
            <w:shd w:val="clear" w:color="auto" w:fill="auto"/>
            <w:vAlign w:val="center"/>
            <w:hideMark/>
          </w:tcPr>
          <w:p w14:paraId="297D677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19.0</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0A58B509" w14:textId="398ED63C"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19.39</w:t>
            </w:r>
          </w:p>
        </w:tc>
        <w:tc>
          <w:tcPr>
            <w:tcW w:w="884" w:type="dxa"/>
            <w:tcBorders>
              <w:top w:val="nil"/>
              <w:left w:val="nil"/>
              <w:bottom w:val="single" w:sz="4" w:space="0" w:color="auto"/>
              <w:right w:val="single" w:sz="4" w:space="0" w:color="auto"/>
            </w:tcBorders>
            <w:shd w:val="clear" w:color="auto" w:fill="auto"/>
            <w:vAlign w:val="center"/>
            <w:hideMark/>
          </w:tcPr>
          <w:p w14:paraId="0825C7E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2C72B42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44.0</w:t>
            </w:r>
          </w:p>
        </w:tc>
        <w:tc>
          <w:tcPr>
            <w:tcW w:w="884" w:type="dxa"/>
            <w:tcBorders>
              <w:top w:val="nil"/>
              <w:left w:val="nil"/>
              <w:bottom w:val="single" w:sz="4" w:space="0" w:color="auto"/>
              <w:right w:val="single" w:sz="4" w:space="0" w:color="auto"/>
            </w:tcBorders>
            <w:shd w:val="clear" w:color="auto" w:fill="auto"/>
            <w:vAlign w:val="center"/>
            <w:hideMark/>
          </w:tcPr>
          <w:p w14:paraId="4775D75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27.3</w:t>
            </w:r>
          </w:p>
        </w:tc>
        <w:tc>
          <w:tcPr>
            <w:tcW w:w="884" w:type="dxa"/>
            <w:tcBorders>
              <w:top w:val="nil"/>
              <w:left w:val="nil"/>
              <w:bottom w:val="single" w:sz="4" w:space="0" w:color="auto"/>
              <w:right w:val="single" w:sz="4" w:space="0" w:color="auto"/>
            </w:tcBorders>
            <w:shd w:val="clear" w:color="auto" w:fill="auto"/>
            <w:vAlign w:val="center"/>
            <w:hideMark/>
          </w:tcPr>
          <w:p w14:paraId="0ED4088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30.2</w:t>
            </w:r>
          </w:p>
        </w:tc>
        <w:tc>
          <w:tcPr>
            <w:tcW w:w="884" w:type="dxa"/>
            <w:tcBorders>
              <w:top w:val="nil"/>
              <w:left w:val="nil"/>
              <w:bottom w:val="single" w:sz="4" w:space="0" w:color="auto"/>
              <w:right w:val="single" w:sz="4" w:space="0" w:color="auto"/>
            </w:tcBorders>
            <w:shd w:val="clear" w:color="auto" w:fill="auto"/>
            <w:vAlign w:val="center"/>
            <w:hideMark/>
          </w:tcPr>
          <w:p w14:paraId="775781D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28.3</w:t>
            </w:r>
          </w:p>
        </w:tc>
        <w:tc>
          <w:tcPr>
            <w:tcW w:w="884" w:type="dxa"/>
            <w:tcBorders>
              <w:top w:val="nil"/>
              <w:left w:val="nil"/>
              <w:bottom w:val="single" w:sz="4" w:space="0" w:color="auto"/>
              <w:right w:val="single" w:sz="4" w:space="0" w:color="auto"/>
            </w:tcBorders>
            <w:shd w:val="clear" w:color="auto" w:fill="auto"/>
            <w:vAlign w:val="center"/>
            <w:hideMark/>
          </w:tcPr>
          <w:p w14:paraId="731D502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27.0</w:t>
            </w:r>
          </w:p>
        </w:tc>
        <w:tc>
          <w:tcPr>
            <w:tcW w:w="884" w:type="dxa"/>
            <w:tcBorders>
              <w:top w:val="nil"/>
              <w:left w:val="nil"/>
              <w:bottom w:val="single" w:sz="4" w:space="0" w:color="auto"/>
              <w:right w:val="single" w:sz="4" w:space="0" w:color="auto"/>
            </w:tcBorders>
            <w:shd w:val="clear" w:color="auto" w:fill="auto"/>
            <w:vAlign w:val="center"/>
            <w:hideMark/>
          </w:tcPr>
          <w:p w14:paraId="4697C3D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33.5</w:t>
            </w:r>
          </w:p>
        </w:tc>
        <w:tc>
          <w:tcPr>
            <w:tcW w:w="884" w:type="dxa"/>
            <w:tcBorders>
              <w:top w:val="nil"/>
              <w:left w:val="nil"/>
              <w:bottom w:val="single" w:sz="4" w:space="0" w:color="auto"/>
              <w:right w:val="single" w:sz="4" w:space="0" w:color="auto"/>
            </w:tcBorders>
            <w:shd w:val="clear" w:color="auto" w:fill="auto"/>
            <w:vAlign w:val="center"/>
            <w:hideMark/>
          </w:tcPr>
          <w:p w14:paraId="47414F2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32.9</w:t>
            </w:r>
          </w:p>
        </w:tc>
        <w:tc>
          <w:tcPr>
            <w:tcW w:w="893" w:type="dxa"/>
            <w:tcBorders>
              <w:top w:val="nil"/>
              <w:left w:val="nil"/>
              <w:bottom w:val="single" w:sz="4" w:space="0" w:color="auto"/>
              <w:right w:val="single" w:sz="4" w:space="0" w:color="auto"/>
            </w:tcBorders>
            <w:shd w:val="clear" w:color="auto" w:fill="auto"/>
            <w:vAlign w:val="center"/>
            <w:hideMark/>
          </w:tcPr>
          <w:p w14:paraId="2F862D3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29.5</w:t>
            </w:r>
          </w:p>
        </w:tc>
        <w:tc>
          <w:tcPr>
            <w:tcW w:w="1294" w:type="dxa"/>
            <w:tcBorders>
              <w:top w:val="nil"/>
              <w:left w:val="nil"/>
              <w:bottom w:val="single" w:sz="4" w:space="0" w:color="auto"/>
              <w:right w:val="single" w:sz="4" w:space="0" w:color="auto"/>
            </w:tcBorders>
            <w:shd w:val="clear" w:color="auto" w:fill="auto"/>
            <w:vAlign w:val="center"/>
            <w:hideMark/>
          </w:tcPr>
          <w:p w14:paraId="49804FB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02CE6"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7BAF4337" w14:textId="77777777" w:rsidTr="0034238D">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06DDD16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DT29</w:t>
            </w:r>
          </w:p>
        </w:tc>
        <w:tc>
          <w:tcPr>
            <w:tcW w:w="1073" w:type="dxa"/>
            <w:tcBorders>
              <w:top w:val="nil"/>
              <w:left w:val="nil"/>
              <w:bottom w:val="single" w:sz="4" w:space="0" w:color="auto"/>
              <w:right w:val="single" w:sz="4" w:space="0" w:color="auto"/>
            </w:tcBorders>
            <w:shd w:val="clear" w:color="auto" w:fill="auto"/>
            <w:vAlign w:val="center"/>
            <w:hideMark/>
          </w:tcPr>
          <w:p w14:paraId="06B83A9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435926</w:t>
            </w:r>
          </w:p>
        </w:tc>
        <w:tc>
          <w:tcPr>
            <w:tcW w:w="1183" w:type="dxa"/>
            <w:tcBorders>
              <w:top w:val="nil"/>
              <w:left w:val="nil"/>
              <w:bottom w:val="single" w:sz="4" w:space="0" w:color="auto"/>
              <w:right w:val="single" w:sz="4" w:space="0" w:color="auto"/>
            </w:tcBorders>
            <w:shd w:val="clear" w:color="auto" w:fill="auto"/>
            <w:vAlign w:val="center"/>
            <w:hideMark/>
          </w:tcPr>
          <w:p w14:paraId="64AB695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564596</w:t>
            </w:r>
          </w:p>
        </w:tc>
        <w:tc>
          <w:tcPr>
            <w:tcW w:w="884" w:type="dxa"/>
            <w:tcBorders>
              <w:top w:val="nil"/>
              <w:left w:val="nil"/>
              <w:bottom w:val="single" w:sz="4" w:space="0" w:color="auto"/>
              <w:right w:val="single" w:sz="4" w:space="0" w:color="auto"/>
            </w:tcBorders>
            <w:shd w:val="clear" w:color="auto" w:fill="auto"/>
            <w:vAlign w:val="center"/>
            <w:hideMark/>
          </w:tcPr>
          <w:p w14:paraId="1EF5F52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38.3</w:t>
            </w:r>
          </w:p>
        </w:tc>
        <w:tc>
          <w:tcPr>
            <w:tcW w:w="884" w:type="dxa"/>
            <w:tcBorders>
              <w:top w:val="nil"/>
              <w:left w:val="nil"/>
              <w:bottom w:val="single" w:sz="4" w:space="0" w:color="auto"/>
              <w:right w:val="single" w:sz="4" w:space="0" w:color="auto"/>
            </w:tcBorders>
            <w:shd w:val="clear" w:color="auto" w:fill="auto"/>
            <w:vAlign w:val="center"/>
            <w:hideMark/>
          </w:tcPr>
          <w:p w14:paraId="5CCB6A8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23.5</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5F3C91AD" w14:textId="6027661E" w:rsidR="00FF3EE6" w:rsidRPr="00FF3EE6" w:rsidRDefault="00FF3EE6" w:rsidP="00FF3EE6">
            <w:pPr>
              <w:spacing w:before="0" w:after="0" w:line="240" w:lineRule="auto"/>
              <w:jc w:val="center"/>
              <w:rPr>
                <w:rFonts w:eastAsia="Times New Roman" w:cs="Arial"/>
                <w:b/>
                <w:bCs/>
                <w:color w:val="FF0000"/>
                <w:sz w:val="20"/>
                <w:szCs w:val="20"/>
                <w:lang w:eastAsia="en-GB"/>
              </w:rPr>
            </w:pPr>
          </w:p>
        </w:tc>
        <w:tc>
          <w:tcPr>
            <w:tcW w:w="884" w:type="dxa"/>
            <w:tcBorders>
              <w:top w:val="nil"/>
              <w:left w:val="single" w:sz="4" w:space="0" w:color="auto"/>
              <w:bottom w:val="single" w:sz="4" w:space="0" w:color="auto"/>
              <w:right w:val="single" w:sz="4" w:space="0" w:color="auto"/>
            </w:tcBorders>
            <w:shd w:val="clear" w:color="auto" w:fill="auto"/>
            <w:vAlign w:val="center"/>
            <w:hideMark/>
          </w:tcPr>
          <w:p w14:paraId="31AD8B3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69C2A70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6B8DAC0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18.4</w:t>
            </w:r>
          </w:p>
        </w:tc>
        <w:tc>
          <w:tcPr>
            <w:tcW w:w="884" w:type="dxa"/>
            <w:tcBorders>
              <w:top w:val="nil"/>
              <w:left w:val="nil"/>
              <w:bottom w:val="single" w:sz="4" w:space="0" w:color="auto"/>
              <w:right w:val="single" w:sz="4" w:space="0" w:color="auto"/>
            </w:tcBorders>
            <w:shd w:val="clear" w:color="auto" w:fill="auto"/>
            <w:vAlign w:val="center"/>
            <w:hideMark/>
          </w:tcPr>
          <w:p w14:paraId="350D5A2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22.3</w:t>
            </w:r>
          </w:p>
        </w:tc>
        <w:tc>
          <w:tcPr>
            <w:tcW w:w="884" w:type="dxa"/>
            <w:tcBorders>
              <w:top w:val="nil"/>
              <w:left w:val="nil"/>
              <w:bottom w:val="single" w:sz="4" w:space="0" w:color="auto"/>
              <w:right w:val="single" w:sz="4" w:space="0" w:color="auto"/>
            </w:tcBorders>
            <w:shd w:val="clear" w:color="auto" w:fill="auto"/>
            <w:vAlign w:val="center"/>
            <w:hideMark/>
          </w:tcPr>
          <w:p w14:paraId="5C47E99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31.0</w:t>
            </w:r>
          </w:p>
        </w:tc>
        <w:tc>
          <w:tcPr>
            <w:tcW w:w="884" w:type="dxa"/>
            <w:tcBorders>
              <w:top w:val="nil"/>
              <w:left w:val="nil"/>
              <w:bottom w:val="single" w:sz="4" w:space="0" w:color="auto"/>
              <w:right w:val="single" w:sz="4" w:space="0" w:color="auto"/>
            </w:tcBorders>
            <w:shd w:val="clear" w:color="auto" w:fill="auto"/>
            <w:vAlign w:val="center"/>
            <w:hideMark/>
          </w:tcPr>
          <w:p w14:paraId="4DD885B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32.3</w:t>
            </w:r>
          </w:p>
        </w:tc>
        <w:tc>
          <w:tcPr>
            <w:tcW w:w="884" w:type="dxa"/>
            <w:tcBorders>
              <w:top w:val="nil"/>
              <w:left w:val="nil"/>
              <w:bottom w:val="single" w:sz="4" w:space="0" w:color="auto"/>
              <w:right w:val="single" w:sz="4" w:space="0" w:color="auto"/>
            </w:tcBorders>
            <w:shd w:val="clear" w:color="auto" w:fill="auto"/>
            <w:vAlign w:val="center"/>
            <w:hideMark/>
          </w:tcPr>
          <w:p w14:paraId="068EAB1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2A46D45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36.7</w:t>
            </w:r>
          </w:p>
        </w:tc>
        <w:tc>
          <w:tcPr>
            <w:tcW w:w="893" w:type="dxa"/>
            <w:tcBorders>
              <w:top w:val="nil"/>
              <w:left w:val="nil"/>
              <w:bottom w:val="single" w:sz="4" w:space="0" w:color="auto"/>
              <w:right w:val="single" w:sz="4" w:space="0" w:color="auto"/>
            </w:tcBorders>
            <w:shd w:val="clear" w:color="auto" w:fill="auto"/>
            <w:vAlign w:val="center"/>
            <w:hideMark/>
          </w:tcPr>
          <w:p w14:paraId="7A4C196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28.8</w:t>
            </w:r>
          </w:p>
        </w:tc>
        <w:tc>
          <w:tcPr>
            <w:tcW w:w="1294" w:type="dxa"/>
            <w:tcBorders>
              <w:top w:val="nil"/>
              <w:left w:val="nil"/>
              <w:bottom w:val="single" w:sz="4" w:space="0" w:color="auto"/>
              <w:right w:val="single" w:sz="4" w:space="0" w:color="auto"/>
            </w:tcBorders>
            <w:shd w:val="clear" w:color="auto" w:fill="auto"/>
            <w:vAlign w:val="center"/>
            <w:hideMark/>
          </w:tcPr>
          <w:p w14:paraId="5476F5B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DF00E"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758507FB" w14:textId="77777777" w:rsidTr="00C47AFA">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0DB2982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DT30</w:t>
            </w:r>
          </w:p>
        </w:tc>
        <w:tc>
          <w:tcPr>
            <w:tcW w:w="1073" w:type="dxa"/>
            <w:tcBorders>
              <w:top w:val="nil"/>
              <w:left w:val="nil"/>
              <w:bottom w:val="single" w:sz="4" w:space="0" w:color="auto"/>
              <w:right w:val="single" w:sz="4" w:space="0" w:color="auto"/>
            </w:tcBorders>
            <w:shd w:val="clear" w:color="auto" w:fill="auto"/>
            <w:vAlign w:val="center"/>
            <w:hideMark/>
          </w:tcPr>
          <w:p w14:paraId="1784F8A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435987</w:t>
            </w:r>
          </w:p>
        </w:tc>
        <w:tc>
          <w:tcPr>
            <w:tcW w:w="1183" w:type="dxa"/>
            <w:tcBorders>
              <w:top w:val="nil"/>
              <w:left w:val="nil"/>
              <w:bottom w:val="single" w:sz="4" w:space="0" w:color="auto"/>
              <w:right w:val="single" w:sz="4" w:space="0" w:color="auto"/>
            </w:tcBorders>
            <w:shd w:val="clear" w:color="auto" w:fill="auto"/>
            <w:vAlign w:val="center"/>
            <w:hideMark/>
          </w:tcPr>
          <w:p w14:paraId="6343CD4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564647</w:t>
            </w:r>
          </w:p>
        </w:tc>
        <w:tc>
          <w:tcPr>
            <w:tcW w:w="884" w:type="dxa"/>
            <w:tcBorders>
              <w:top w:val="nil"/>
              <w:left w:val="nil"/>
              <w:bottom w:val="single" w:sz="4" w:space="0" w:color="auto"/>
              <w:right w:val="single" w:sz="4" w:space="0" w:color="auto"/>
            </w:tcBorders>
            <w:shd w:val="clear" w:color="auto" w:fill="auto"/>
            <w:vAlign w:val="center"/>
            <w:hideMark/>
          </w:tcPr>
          <w:p w14:paraId="3B26CF8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38.7</w:t>
            </w:r>
          </w:p>
        </w:tc>
        <w:tc>
          <w:tcPr>
            <w:tcW w:w="884" w:type="dxa"/>
            <w:tcBorders>
              <w:top w:val="nil"/>
              <w:left w:val="nil"/>
              <w:bottom w:val="single" w:sz="4" w:space="0" w:color="auto"/>
              <w:right w:val="single" w:sz="4" w:space="0" w:color="auto"/>
            </w:tcBorders>
            <w:shd w:val="clear" w:color="auto" w:fill="auto"/>
            <w:vAlign w:val="center"/>
            <w:hideMark/>
          </w:tcPr>
          <w:p w14:paraId="5AF3FA0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25.5</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148912EC" w14:textId="3646E9DB" w:rsidR="00FF3EE6" w:rsidRPr="00FF3EE6" w:rsidRDefault="00FF3EE6" w:rsidP="00FF3EE6">
            <w:pPr>
              <w:spacing w:before="0" w:after="0" w:line="240" w:lineRule="auto"/>
              <w:jc w:val="center"/>
              <w:rPr>
                <w:rFonts w:eastAsia="Times New Roman" w:cs="Arial"/>
                <w:b/>
                <w:bCs/>
                <w:color w:val="FF0000"/>
                <w:sz w:val="20"/>
                <w:szCs w:val="20"/>
                <w:lang w:eastAsia="en-GB"/>
              </w:rPr>
            </w:pPr>
          </w:p>
        </w:tc>
        <w:tc>
          <w:tcPr>
            <w:tcW w:w="884" w:type="dxa"/>
            <w:tcBorders>
              <w:top w:val="nil"/>
              <w:left w:val="single" w:sz="4" w:space="0" w:color="auto"/>
              <w:bottom w:val="single" w:sz="4" w:space="0" w:color="auto"/>
              <w:right w:val="single" w:sz="4" w:space="0" w:color="auto"/>
            </w:tcBorders>
            <w:shd w:val="clear" w:color="auto" w:fill="auto"/>
            <w:vAlign w:val="center"/>
            <w:hideMark/>
          </w:tcPr>
          <w:p w14:paraId="69A7B05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6124D3D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5CDEED7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22.0</w:t>
            </w:r>
          </w:p>
        </w:tc>
        <w:tc>
          <w:tcPr>
            <w:tcW w:w="884" w:type="dxa"/>
            <w:tcBorders>
              <w:top w:val="nil"/>
              <w:left w:val="nil"/>
              <w:bottom w:val="single" w:sz="4" w:space="0" w:color="auto"/>
              <w:right w:val="single" w:sz="4" w:space="0" w:color="auto"/>
            </w:tcBorders>
            <w:shd w:val="clear" w:color="auto" w:fill="auto"/>
            <w:vAlign w:val="center"/>
            <w:hideMark/>
          </w:tcPr>
          <w:p w14:paraId="6F47CCD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25.5</w:t>
            </w:r>
          </w:p>
        </w:tc>
        <w:tc>
          <w:tcPr>
            <w:tcW w:w="884" w:type="dxa"/>
            <w:tcBorders>
              <w:top w:val="nil"/>
              <w:left w:val="nil"/>
              <w:bottom w:val="single" w:sz="4" w:space="0" w:color="auto"/>
              <w:right w:val="single" w:sz="4" w:space="0" w:color="auto"/>
            </w:tcBorders>
            <w:shd w:val="clear" w:color="auto" w:fill="auto"/>
            <w:vAlign w:val="center"/>
            <w:hideMark/>
          </w:tcPr>
          <w:p w14:paraId="3089FDD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32.7</w:t>
            </w:r>
          </w:p>
        </w:tc>
        <w:tc>
          <w:tcPr>
            <w:tcW w:w="884" w:type="dxa"/>
            <w:tcBorders>
              <w:top w:val="nil"/>
              <w:left w:val="nil"/>
              <w:bottom w:val="single" w:sz="4" w:space="0" w:color="auto"/>
              <w:right w:val="single" w:sz="4" w:space="0" w:color="auto"/>
            </w:tcBorders>
            <w:shd w:val="clear" w:color="auto" w:fill="auto"/>
            <w:vAlign w:val="center"/>
            <w:hideMark/>
          </w:tcPr>
          <w:p w14:paraId="38DC01B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6B399BF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31.4</w:t>
            </w:r>
          </w:p>
        </w:tc>
        <w:tc>
          <w:tcPr>
            <w:tcW w:w="884" w:type="dxa"/>
            <w:tcBorders>
              <w:top w:val="nil"/>
              <w:left w:val="nil"/>
              <w:bottom w:val="single" w:sz="4" w:space="0" w:color="auto"/>
              <w:right w:val="single" w:sz="4" w:space="0" w:color="auto"/>
            </w:tcBorders>
            <w:shd w:val="clear" w:color="auto" w:fill="auto"/>
            <w:vAlign w:val="center"/>
            <w:hideMark/>
          </w:tcPr>
          <w:p w14:paraId="1C20790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36.5</w:t>
            </w:r>
          </w:p>
        </w:tc>
        <w:tc>
          <w:tcPr>
            <w:tcW w:w="893" w:type="dxa"/>
            <w:tcBorders>
              <w:top w:val="nil"/>
              <w:left w:val="nil"/>
              <w:bottom w:val="single" w:sz="4" w:space="0" w:color="auto"/>
              <w:right w:val="single" w:sz="4" w:space="0" w:color="auto"/>
            </w:tcBorders>
            <w:shd w:val="clear" w:color="auto" w:fill="auto"/>
            <w:vAlign w:val="center"/>
            <w:hideMark/>
          </w:tcPr>
          <w:p w14:paraId="24D064A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30.0</w:t>
            </w:r>
          </w:p>
        </w:tc>
        <w:tc>
          <w:tcPr>
            <w:tcW w:w="1294" w:type="dxa"/>
            <w:tcBorders>
              <w:top w:val="nil"/>
              <w:left w:val="nil"/>
              <w:bottom w:val="single" w:sz="4" w:space="0" w:color="auto"/>
              <w:right w:val="single" w:sz="4" w:space="0" w:color="auto"/>
            </w:tcBorders>
            <w:shd w:val="clear" w:color="auto" w:fill="auto"/>
            <w:vAlign w:val="center"/>
            <w:hideMark/>
          </w:tcPr>
          <w:p w14:paraId="69B2235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2EE83"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288983A4"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0B9013B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DT31</w:t>
            </w:r>
          </w:p>
        </w:tc>
        <w:tc>
          <w:tcPr>
            <w:tcW w:w="1073" w:type="dxa"/>
            <w:tcBorders>
              <w:top w:val="nil"/>
              <w:left w:val="nil"/>
              <w:bottom w:val="single" w:sz="4" w:space="0" w:color="auto"/>
              <w:right w:val="single" w:sz="4" w:space="0" w:color="auto"/>
            </w:tcBorders>
            <w:shd w:val="clear" w:color="auto" w:fill="auto"/>
            <w:vAlign w:val="center"/>
            <w:hideMark/>
          </w:tcPr>
          <w:p w14:paraId="3150D36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435959</w:t>
            </w:r>
          </w:p>
        </w:tc>
        <w:tc>
          <w:tcPr>
            <w:tcW w:w="1183" w:type="dxa"/>
            <w:tcBorders>
              <w:top w:val="nil"/>
              <w:left w:val="nil"/>
              <w:bottom w:val="single" w:sz="4" w:space="0" w:color="auto"/>
              <w:right w:val="single" w:sz="4" w:space="0" w:color="auto"/>
            </w:tcBorders>
            <w:shd w:val="clear" w:color="auto" w:fill="auto"/>
            <w:vAlign w:val="center"/>
            <w:hideMark/>
          </w:tcPr>
          <w:p w14:paraId="04CB0FA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564470</w:t>
            </w:r>
          </w:p>
        </w:tc>
        <w:tc>
          <w:tcPr>
            <w:tcW w:w="884" w:type="dxa"/>
            <w:tcBorders>
              <w:top w:val="nil"/>
              <w:left w:val="nil"/>
              <w:bottom w:val="single" w:sz="4" w:space="0" w:color="auto"/>
              <w:right w:val="single" w:sz="4" w:space="0" w:color="auto"/>
            </w:tcBorders>
            <w:shd w:val="clear" w:color="auto" w:fill="auto"/>
            <w:vAlign w:val="center"/>
            <w:hideMark/>
          </w:tcPr>
          <w:p w14:paraId="7D244F7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29.5</w:t>
            </w:r>
          </w:p>
        </w:tc>
        <w:tc>
          <w:tcPr>
            <w:tcW w:w="884" w:type="dxa"/>
            <w:tcBorders>
              <w:top w:val="nil"/>
              <w:left w:val="nil"/>
              <w:bottom w:val="single" w:sz="4" w:space="0" w:color="auto"/>
              <w:right w:val="single" w:sz="4" w:space="0" w:color="auto"/>
            </w:tcBorders>
            <w:shd w:val="clear" w:color="auto" w:fill="auto"/>
            <w:vAlign w:val="center"/>
            <w:hideMark/>
          </w:tcPr>
          <w:p w14:paraId="75093AE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21.7</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632D8243" w14:textId="7C3421A3"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22.90</w:t>
            </w:r>
          </w:p>
        </w:tc>
        <w:tc>
          <w:tcPr>
            <w:tcW w:w="884" w:type="dxa"/>
            <w:tcBorders>
              <w:top w:val="nil"/>
              <w:left w:val="nil"/>
              <w:bottom w:val="single" w:sz="4" w:space="0" w:color="auto"/>
              <w:right w:val="single" w:sz="4" w:space="0" w:color="auto"/>
            </w:tcBorders>
            <w:shd w:val="clear" w:color="auto" w:fill="auto"/>
            <w:vAlign w:val="center"/>
            <w:hideMark/>
          </w:tcPr>
          <w:p w14:paraId="63EB3BD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23.1</w:t>
            </w:r>
          </w:p>
        </w:tc>
        <w:tc>
          <w:tcPr>
            <w:tcW w:w="884" w:type="dxa"/>
            <w:tcBorders>
              <w:top w:val="nil"/>
              <w:left w:val="nil"/>
              <w:bottom w:val="single" w:sz="4" w:space="0" w:color="auto"/>
              <w:right w:val="single" w:sz="4" w:space="0" w:color="auto"/>
            </w:tcBorders>
            <w:shd w:val="clear" w:color="auto" w:fill="auto"/>
            <w:vAlign w:val="center"/>
            <w:hideMark/>
          </w:tcPr>
          <w:p w14:paraId="5263E92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29.4</w:t>
            </w:r>
          </w:p>
        </w:tc>
        <w:tc>
          <w:tcPr>
            <w:tcW w:w="884" w:type="dxa"/>
            <w:tcBorders>
              <w:top w:val="nil"/>
              <w:left w:val="nil"/>
              <w:bottom w:val="single" w:sz="4" w:space="0" w:color="auto"/>
              <w:right w:val="single" w:sz="4" w:space="0" w:color="auto"/>
            </w:tcBorders>
            <w:shd w:val="clear" w:color="auto" w:fill="auto"/>
            <w:vAlign w:val="center"/>
            <w:hideMark/>
          </w:tcPr>
          <w:p w14:paraId="5DF501B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21.0</w:t>
            </w:r>
          </w:p>
        </w:tc>
        <w:tc>
          <w:tcPr>
            <w:tcW w:w="884" w:type="dxa"/>
            <w:tcBorders>
              <w:top w:val="nil"/>
              <w:left w:val="nil"/>
              <w:bottom w:val="single" w:sz="4" w:space="0" w:color="auto"/>
              <w:right w:val="single" w:sz="4" w:space="0" w:color="auto"/>
            </w:tcBorders>
            <w:shd w:val="clear" w:color="auto" w:fill="auto"/>
            <w:vAlign w:val="center"/>
            <w:hideMark/>
          </w:tcPr>
          <w:p w14:paraId="1B4ED2C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21.9</w:t>
            </w:r>
          </w:p>
        </w:tc>
        <w:tc>
          <w:tcPr>
            <w:tcW w:w="884" w:type="dxa"/>
            <w:tcBorders>
              <w:top w:val="nil"/>
              <w:left w:val="nil"/>
              <w:bottom w:val="single" w:sz="4" w:space="0" w:color="auto"/>
              <w:right w:val="single" w:sz="4" w:space="0" w:color="auto"/>
            </w:tcBorders>
            <w:shd w:val="clear" w:color="auto" w:fill="auto"/>
            <w:vAlign w:val="center"/>
            <w:hideMark/>
          </w:tcPr>
          <w:p w14:paraId="39F99A6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33.6</w:t>
            </w:r>
          </w:p>
        </w:tc>
        <w:tc>
          <w:tcPr>
            <w:tcW w:w="884" w:type="dxa"/>
            <w:tcBorders>
              <w:top w:val="nil"/>
              <w:left w:val="nil"/>
              <w:bottom w:val="single" w:sz="4" w:space="0" w:color="auto"/>
              <w:right w:val="single" w:sz="4" w:space="0" w:color="auto"/>
            </w:tcBorders>
            <w:shd w:val="clear" w:color="auto" w:fill="auto"/>
            <w:vAlign w:val="center"/>
            <w:hideMark/>
          </w:tcPr>
          <w:p w14:paraId="37A42C8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28.8</w:t>
            </w:r>
          </w:p>
        </w:tc>
        <w:tc>
          <w:tcPr>
            <w:tcW w:w="884" w:type="dxa"/>
            <w:tcBorders>
              <w:top w:val="nil"/>
              <w:left w:val="nil"/>
              <w:bottom w:val="single" w:sz="4" w:space="0" w:color="auto"/>
              <w:right w:val="single" w:sz="4" w:space="0" w:color="auto"/>
            </w:tcBorders>
            <w:shd w:val="clear" w:color="auto" w:fill="auto"/>
            <w:vAlign w:val="center"/>
            <w:hideMark/>
          </w:tcPr>
          <w:p w14:paraId="304D97E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39.5</w:t>
            </w:r>
          </w:p>
        </w:tc>
        <w:tc>
          <w:tcPr>
            <w:tcW w:w="884" w:type="dxa"/>
            <w:tcBorders>
              <w:top w:val="nil"/>
              <w:left w:val="nil"/>
              <w:bottom w:val="single" w:sz="4" w:space="0" w:color="auto"/>
              <w:right w:val="single" w:sz="4" w:space="0" w:color="auto"/>
            </w:tcBorders>
            <w:shd w:val="clear" w:color="auto" w:fill="auto"/>
            <w:vAlign w:val="center"/>
            <w:hideMark/>
          </w:tcPr>
          <w:p w14:paraId="2BC956B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93" w:type="dxa"/>
            <w:tcBorders>
              <w:top w:val="nil"/>
              <w:left w:val="nil"/>
              <w:bottom w:val="single" w:sz="4" w:space="0" w:color="auto"/>
              <w:right w:val="single" w:sz="4" w:space="0" w:color="auto"/>
            </w:tcBorders>
            <w:shd w:val="clear" w:color="auto" w:fill="auto"/>
            <w:vAlign w:val="center"/>
            <w:hideMark/>
          </w:tcPr>
          <w:p w14:paraId="6611074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26.9</w:t>
            </w:r>
          </w:p>
        </w:tc>
        <w:tc>
          <w:tcPr>
            <w:tcW w:w="1294" w:type="dxa"/>
            <w:tcBorders>
              <w:top w:val="nil"/>
              <w:left w:val="nil"/>
              <w:bottom w:val="single" w:sz="4" w:space="0" w:color="auto"/>
              <w:right w:val="single" w:sz="4" w:space="0" w:color="auto"/>
            </w:tcBorders>
            <w:shd w:val="clear" w:color="auto" w:fill="auto"/>
            <w:vAlign w:val="center"/>
            <w:hideMark/>
          </w:tcPr>
          <w:p w14:paraId="3651AD6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60422"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7E6B3D07"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3E8BE4A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DT32</w:t>
            </w:r>
          </w:p>
        </w:tc>
        <w:tc>
          <w:tcPr>
            <w:tcW w:w="1073" w:type="dxa"/>
            <w:tcBorders>
              <w:top w:val="nil"/>
              <w:left w:val="nil"/>
              <w:bottom w:val="single" w:sz="4" w:space="0" w:color="auto"/>
              <w:right w:val="single" w:sz="4" w:space="0" w:color="auto"/>
            </w:tcBorders>
            <w:shd w:val="clear" w:color="auto" w:fill="auto"/>
            <w:vAlign w:val="center"/>
            <w:hideMark/>
          </w:tcPr>
          <w:p w14:paraId="17CF856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437540</w:t>
            </w:r>
          </w:p>
        </w:tc>
        <w:tc>
          <w:tcPr>
            <w:tcW w:w="1183" w:type="dxa"/>
            <w:tcBorders>
              <w:top w:val="nil"/>
              <w:left w:val="nil"/>
              <w:bottom w:val="single" w:sz="4" w:space="0" w:color="auto"/>
              <w:right w:val="single" w:sz="4" w:space="0" w:color="auto"/>
            </w:tcBorders>
            <w:shd w:val="clear" w:color="auto" w:fill="auto"/>
            <w:vAlign w:val="center"/>
            <w:hideMark/>
          </w:tcPr>
          <w:p w14:paraId="0F3CA23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564355</w:t>
            </w:r>
          </w:p>
        </w:tc>
        <w:tc>
          <w:tcPr>
            <w:tcW w:w="884" w:type="dxa"/>
            <w:tcBorders>
              <w:top w:val="nil"/>
              <w:left w:val="nil"/>
              <w:bottom w:val="single" w:sz="4" w:space="0" w:color="auto"/>
              <w:right w:val="single" w:sz="4" w:space="0" w:color="auto"/>
            </w:tcBorders>
            <w:shd w:val="clear" w:color="auto" w:fill="auto"/>
            <w:vAlign w:val="center"/>
            <w:hideMark/>
          </w:tcPr>
          <w:p w14:paraId="242913B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31.8</w:t>
            </w:r>
          </w:p>
        </w:tc>
        <w:tc>
          <w:tcPr>
            <w:tcW w:w="884" w:type="dxa"/>
            <w:tcBorders>
              <w:top w:val="nil"/>
              <w:left w:val="nil"/>
              <w:bottom w:val="single" w:sz="4" w:space="0" w:color="auto"/>
              <w:right w:val="single" w:sz="4" w:space="0" w:color="auto"/>
            </w:tcBorders>
            <w:shd w:val="clear" w:color="auto" w:fill="auto"/>
            <w:vAlign w:val="center"/>
            <w:hideMark/>
          </w:tcPr>
          <w:p w14:paraId="56E6429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18.4</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404F2535" w14:textId="2653BADD"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14.71</w:t>
            </w:r>
          </w:p>
        </w:tc>
        <w:tc>
          <w:tcPr>
            <w:tcW w:w="884" w:type="dxa"/>
            <w:tcBorders>
              <w:top w:val="nil"/>
              <w:left w:val="nil"/>
              <w:bottom w:val="single" w:sz="4" w:space="0" w:color="auto"/>
              <w:right w:val="single" w:sz="4" w:space="0" w:color="auto"/>
            </w:tcBorders>
            <w:shd w:val="clear" w:color="auto" w:fill="auto"/>
            <w:vAlign w:val="center"/>
            <w:hideMark/>
          </w:tcPr>
          <w:p w14:paraId="375327C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0C2A397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26.3</w:t>
            </w:r>
          </w:p>
        </w:tc>
        <w:tc>
          <w:tcPr>
            <w:tcW w:w="884" w:type="dxa"/>
            <w:tcBorders>
              <w:top w:val="nil"/>
              <w:left w:val="nil"/>
              <w:bottom w:val="single" w:sz="4" w:space="0" w:color="auto"/>
              <w:right w:val="single" w:sz="4" w:space="0" w:color="auto"/>
            </w:tcBorders>
            <w:shd w:val="clear" w:color="auto" w:fill="auto"/>
            <w:vAlign w:val="center"/>
            <w:hideMark/>
          </w:tcPr>
          <w:p w14:paraId="4AEA5B5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15.8</w:t>
            </w:r>
          </w:p>
        </w:tc>
        <w:tc>
          <w:tcPr>
            <w:tcW w:w="884" w:type="dxa"/>
            <w:tcBorders>
              <w:top w:val="nil"/>
              <w:left w:val="nil"/>
              <w:bottom w:val="single" w:sz="4" w:space="0" w:color="auto"/>
              <w:right w:val="single" w:sz="4" w:space="0" w:color="auto"/>
            </w:tcBorders>
            <w:shd w:val="clear" w:color="auto" w:fill="auto"/>
            <w:vAlign w:val="center"/>
            <w:hideMark/>
          </w:tcPr>
          <w:p w14:paraId="1BBF411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26.1</w:t>
            </w:r>
          </w:p>
        </w:tc>
        <w:tc>
          <w:tcPr>
            <w:tcW w:w="884" w:type="dxa"/>
            <w:tcBorders>
              <w:top w:val="nil"/>
              <w:left w:val="nil"/>
              <w:bottom w:val="single" w:sz="4" w:space="0" w:color="auto"/>
              <w:right w:val="single" w:sz="4" w:space="0" w:color="auto"/>
            </w:tcBorders>
            <w:shd w:val="clear" w:color="auto" w:fill="auto"/>
            <w:vAlign w:val="center"/>
            <w:hideMark/>
          </w:tcPr>
          <w:p w14:paraId="1332094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22.7</w:t>
            </w:r>
          </w:p>
        </w:tc>
        <w:tc>
          <w:tcPr>
            <w:tcW w:w="884" w:type="dxa"/>
            <w:tcBorders>
              <w:top w:val="nil"/>
              <w:left w:val="nil"/>
              <w:bottom w:val="single" w:sz="4" w:space="0" w:color="auto"/>
              <w:right w:val="single" w:sz="4" w:space="0" w:color="auto"/>
            </w:tcBorders>
            <w:shd w:val="clear" w:color="auto" w:fill="auto"/>
            <w:vAlign w:val="center"/>
            <w:hideMark/>
          </w:tcPr>
          <w:p w14:paraId="019B639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26.1</w:t>
            </w:r>
          </w:p>
        </w:tc>
        <w:tc>
          <w:tcPr>
            <w:tcW w:w="884" w:type="dxa"/>
            <w:tcBorders>
              <w:top w:val="nil"/>
              <w:left w:val="nil"/>
              <w:bottom w:val="single" w:sz="4" w:space="0" w:color="auto"/>
              <w:right w:val="single" w:sz="4" w:space="0" w:color="auto"/>
            </w:tcBorders>
            <w:shd w:val="clear" w:color="auto" w:fill="auto"/>
            <w:vAlign w:val="center"/>
            <w:hideMark/>
          </w:tcPr>
          <w:p w14:paraId="4147FCB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01B7753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31.0</w:t>
            </w:r>
          </w:p>
        </w:tc>
        <w:tc>
          <w:tcPr>
            <w:tcW w:w="893" w:type="dxa"/>
            <w:tcBorders>
              <w:top w:val="nil"/>
              <w:left w:val="nil"/>
              <w:bottom w:val="single" w:sz="4" w:space="0" w:color="auto"/>
              <w:right w:val="single" w:sz="4" w:space="0" w:color="auto"/>
            </w:tcBorders>
            <w:shd w:val="clear" w:color="auto" w:fill="auto"/>
            <w:vAlign w:val="center"/>
            <w:hideMark/>
          </w:tcPr>
          <w:p w14:paraId="761897C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24.7</w:t>
            </w:r>
          </w:p>
        </w:tc>
        <w:tc>
          <w:tcPr>
            <w:tcW w:w="1294" w:type="dxa"/>
            <w:tcBorders>
              <w:top w:val="nil"/>
              <w:left w:val="nil"/>
              <w:bottom w:val="single" w:sz="4" w:space="0" w:color="auto"/>
              <w:right w:val="single" w:sz="4" w:space="0" w:color="auto"/>
            </w:tcBorders>
            <w:shd w:val="clear" w:color="auto" w:fill="auto"/>
            <w:vAlign w:val="center"/>
            <w:hideMark/>
          </w:tcPr>
          <w:p w14:paraId="288343C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BE05D"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25D35137" w14:textId="77777777" w:rsidTr="00F070DB">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73112F4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DT33</w:t>
            </w:r>
          </w:p>
        </w:tc>
        <w:tc>
          <w:tcPr>
            <w:tcW w:w="1073" w:type="dxa"/>
            <w:tcBorders>
              <w:top w:val="nil"/>
              <w:left w:val="nil"/>
              <w:bottom w:val="single" w:sz="4" w:space="0" w:color="auto"/>
              <w:right w:val="single" w:sz="4" w:space="0" w:color="auto"/>
            </w:tcBorders>
            <w:shd w:val="clear" w:color="auto" w:fill="auto"/>
            <w:vAlign w:val="center"/>
            <w:hideMark/>
          </w:tcPr>
          <w:p w14:paraId="75507D4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437819</w:t>
            </w:r>
          </w:p>
        </w:tc>
        <w:tc>
          <w:tcPr>
            <w:tcW w:w="1183" w:type="dxa"/>
            <w:tcBorders>
              <w:top w:val="nil"/>
              <w:left w:val="nil"/>
              <w:bottom w:val="single" w:sz="4" w:space="0" w:color="auto"/>
              <w:right w:val="single" w:sz="4" w:space="0" w:color="auto"/>
            </w:tcBorders>
            <w:shd w:val="clear" w:color="auto" w:fill="auto"/>
            <w:vAlign w:val="center"/>
            <w:hideMark/>
          </w:tcPr>
          <w:p w14:paraId="2BE2103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564335</w:t>
            </w:r>
          </w:p>
        </w:tc>
        <w:tc>
          <w:tcPr>
            <w:tcW w:w="884" w:type="dxa"/>
            <w:tcBorders>
              <w:top w:val="nil"/>
              <w:left w:val="nil"/>
              <w:bottom w:val="single" w:sz="4" w:space="0" w:color="auto"/>
              <w:right w:val="single" w:sz="4" w:space="0" w:color="auto"/>
            </w:tcBorders>
            <w:shd w:val="clear" w:color="auto" w:fill="auto"/>
            <w:vAlign w:val="center"/>
            <w:hideMark/>
          </w:tcPr>
          <w:p w14:paraId="1A93D8B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38.7</w:t>
            </w:r>
          </w:p>
        </w:tc>
        <w:tc>
          <w:tcPr>
            <w:tcW w:w="884" w:type="dxa"/>
            <w:tcBorders>
              <w:top w:val="nil"/>
              <w:left w:val="nil"/>
              <w:bottom w:val="single" w:sz="4" w:space="0" w:color="auto"/>
              <w:right w:val="single" w:sz="4" w:space="0" w:color="auto"/>
            </w:tcBorders>
            <w:shd w:val="clear" w:color="auto" w:fill="auto"/>
            <w:vAlign w:val="center"/>
            <w:hideMark/>
          </w:tcPr>
          <w:p w14:paraId="34EE48D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7DC25517" w14:textId="03405AD8" w:rsidR="00FF3EE6" w:rsidRPr="00FF3EE6" w:rsidRDefault="00FF3EE6" w:rsidP="00FF3EE6">
            <w:pPr>
              <w:spacing w:before="0" w:after="0" w:line="240" w:lineRule="auto"/>
              <w:jc w:val="center"/>
              <w:rPr>
                <w:rFonts w:eastAsia="Times New Roman" w:cs="Arial"/>
                <w:b/>
                <w:bCs/>
                <w:color w:val="FF0000"/>
                <w:sz w:val="20"/>
                <w:szCs w:val="20"/>
                <w:lang w:eastAsia="en-GB"/>
              </w:rPr>
            </w:pPr>
          </w:p>
        </w:tc>
        <w:tc>
          <w:tcPr>
            <w:tcW w:w="884" w:type="dxa"/>
            <w:tcBorders>
              <w:top w:val="nil"/>
              <w:left w:val="single" w:sz="4" w:space="0" w:color="auto"/>
              <w:bottom w:val="single" w:sz="4" w:space="0" w:color="auto"/>
              <w:right w:val="single" w:sz="4" w:space="0" w:color="auto"/>
            </w:tcBorders>
            <w:shd w:val="clear" w:color="auto" w:fill="auto"/>
            <w:vAlign w:val="center"/>
            <w:hideMark/>
          </w:tcPr>
          <w:p w14:paraId="23474A1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00F336F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0D917CC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216D85B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01B06AA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22.7</w:t>
            </w:r>
          </w:p>
        </w:tc>
        <w:tc>
          <w:tcPr>
            <w:tcW w:w="884" w:type="dxa"/>
            <w:tcBorders>
              <w:top w:val="nil"/>
              <w:left w:val="nil"/>
              <w:bottom w:val="single" w:sz="4" w:space="0" w:color="auto"/>
              <w:right w:val="single" w:sz="4" w:space="0" w:color="auto"/>
            </w:tcBorders>
            <w:shd w:val="clear" w:color="auto" w:fill="auto"/>
            <w:vAlign w:val="center"/>
            <w:hideMark/>
          </w:tcPr>
          <w:p w14:paraId="67F879B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42618EE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33B2FB1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31.3</w:t>
            </w:r>
          </w:p>
        </w:tc>
        <w:tc>
          <w:tcPr>
            <w:tcW w:w="893" w:type="dxa"/>
            <w:tcBorders>
              <w:top w:val="nil"/>
              <w:left w:val="nil"/>
              <w:bottom w:val="single" w:sz="4" w:space="0" w:color="auto"/>
              <w:right w:val="single" w:sz="4" w:space="0" w:color="auto"/>
            </w:tcBorders>
            <w:shd w:val="clear" w:color="auto" w:fill="auto"/>
            <w:vAlign w:val="center"/>
            <w:hideMark/>
          </w:tcPr>
          <w:p w14:paraId="7456B74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31.4</w:t>
            </w:r>
          </w:p>
        </w:tc>
        <w:tc>
          <w:tcPr>
            <w:tcW w:w="1294" w:type="dxa"/>
            <w:tcBorders>
              <w:top w:val="nil"/>
              <w:left w:val="nil"/>
              <w:bottom w:val="single" w:sz="4" w:space="0" w:color="auto"/>
              <w:right w:val="single" w:sz="4" w:space="0" w:color="auto"/>
            </w:tcBorders>
            <w:shd w:val="clear" w:color="auto" w:fill="auto"/>
            <w:vAlign w:val="center"/>
            <w:hideMark/>
          </w:tcPr>
          <w:p w14:paraId="3DC1310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28920"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19C2C2FA"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36DF747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DT34</w:t>
            </w:r>
          </w:p>
        </w:tc>
        <w:tc>
          <w:tcPr>
            <w:tcW w:w="1073" w:type="dxa"/>
            <w:tcBorders>
              <w:top w:val="nil"/>
              <w:left w:val="nil"/>
              <w:bottom w:val="single" w:sz="4" w:space="0" w:color="auto"/>
              <w:right w:val="single" w:sz="4" w:space="0" w:color="auto"/>
            </w:tcBorders>
            <w:shd w:val="clear" w:color="auto" w:fill="auto"/>
            <w:vAlign w:val="center"/>
            <w:hideMark/>
          </w:tcPr>
          <w:p w14:paraId="35849A2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437010</w:t>
            </w:r>
          </w:p>
        </w:tc>
        <w:tc>
          <w:tcPr>
            <w:tcW w:w="1183" w:type="dxa"/>
            <w:tcBorders>
              <w:top w:val="nil"/>
              <w:left w:val="nil"/>
              <w:bottom w:val="single" w:sz="4" w:space="0" w:color="auto"/>
              <w:right w:val="single" w:sz="4" w:space="0" w:color="auto"/>
            </w:tcBorders>
            <w:shd w:val="clear" w:color="auto" w:fill="auto"/>
            <w:vAlign w:val="center"/>
            <w:hideMark/>
          </w:tcPr>
          <w:p w14:paraId="3B1AB39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565873</w:t>
            </w:r>
          </w:p>
        </w:tc>
        <w:tc>
          <w:tcPr>
            <w:tcW w:w="884" w:type="dxa"/>
            <w:tcBorders>
              <w:top w:val="nil"/>
              <w:left w:val="nil"/>
              <w:bottom w:val="single" w:sz="4" w:space="0" w:color="auto"/>
              <w:right w:val="single" w:sz="4" w:space="0" w:color="auto"/>
            </w:tcBorders>
            <w:shd w:val="clear" w:color="auto" w:fill="auto"/>
            <w:vAlign w:val="center"/>
            <w:hideMark/>
          </w:tcPr>
          <w:p w14:paraId="0A68978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42.1</w:t>
            </w:r>
          </w:p>
        </w:tc>
        <w:tc>
          <w:tcPr>
            <w:tcW w:w="884" w:type="dxa"/>
            <w:tcBorders>
              <w:top w:val="nil"/>
              <w:left w:val="nil"/>
              <w:bottom w:val="single" w:sz="4" w:space="0" w:color="auto"/>
              <w:right w:val="single" w:sz="4" w:space="0" w:color="auto"/>
            </w:tcBorders>
            <w:shd w:val="clear" w:color="auto" w:fill="auto"/>
            <w:vAlign w:val="center"/>
            <w:hideMark/>
          </w:tcPr>
          <w:p w14:paraId="6988D5B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21.7</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2CFFFF15" w14:textId="794DDA32"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18.09</w:t>
            </w:r>
          </w:p>
        </w:tc>
        <w:tc>
          <w:tcPr>
            <w:tcW w:w="884" w:type="dxa"/>
            <w:tcBorders>
              <w:top w:val="nil"/>
              <w:left w:val="nil"/>
              <w:bottom w:val="single" w:sz="4" w:space="0" w:color="auto"/>
              <w:right w:val="single" w:sz="4" w:space="0" w:color="auto"/>
            </w:tcBorders>
            <w:shd w:val="clear" w:color="auto" w:fill="auto"/>
            <w:vAlign w:val="center"/>
            <w:hideMark/>
          </w:tcPr>
          <w:p w14:paraId="73E99F6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17.2</w:t>
            </w:r>
          </w:p>
        </w:tc>
        <w:tc>
          <w:tcPr>
            <w:tcW w:w="884" w:type="dxa"/>
            <w:tcBorders>
              <w:top w:val="nil"/>
              <w:left w:val="nil"/>
              <w:bottom w:val="single" w:sz="4" w:space="0" w:color="auto"/>
              <w:right w:val="single" w:sz="4" w:space="0" w:color="auto"/>
            </w:tcBorders>
            <w:shd w:val="clear" w:color="auto" w:fill="auto"/>
            <w:vAlign w:val="center"/>
            <w:hideMark/>
          </w:tcPr>
          <w:p w14:paraId="6494CC9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17.3</w:t>
            </w:r>
          </w:p>
        </w:tc>
        <w:tc>
          <w:tcPr>
            <w:tcW w:w="884" w:type="dxa"/>
            <w:tcBorders>
              <w:top w:val="nil"/>
              <w:left w:val="nil"/>
              <w:bottom w:val="single" w:sz="4" w:space="0" w:color="auto"/>
              <w:right w:val="single" w:sz="4" w:space="0" w:color="auto"/>
            </w:tcBorders>
            <w:shd w:val="clear" w:color="auto" w:fill="auto"/>
            <w:vAlign w:val="center"/>
            <w:hideMark/>
          </w:tcPr>
          <w:p w14:paraId="3B78BFA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24.7</w:t>
            </w:r>
          </w:p>
        </w:tc>
        <w:tc>
          <w:tcPr>
            <w:tcW w:w="884" w:type="dxa"/>
            <w:tcBorders>
              <w:top w:val="nil"/>
              <w:left w:val="nil"/>
              <w:bottom w:val="single" w:sz="4" w:space="0" w:color="auto"/>
              <w:right w:val="single" w:sz="4" w:space="0" w:color="auto"/>
            </w:tcBorders>
            <w:shd w:val="clear" w:color="auto" w:fill="auto"/>
            <w:vAlign w:val="center"/>
            <w:hideMark/>
          </w:tcPr>
          <w:p w14:paraId="225D2F8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16.2</w:t>
            </w:r>
          </w:p>
        </w:tc>
        <w:tc>
          <w:tcPr>
            <w:tcW w:w="884" w:type="dxa"/>
            <w:tcBorders>
              <w:top w:val="nil"/>
              <w:left w:val="nil"/>
              <w:bottom w:val="single" w:sz="4" w:space="0" w:color="auto"/>
              <w:right w:val="single" w:sz="4" w:space="0" w:color="auto"/>
            </w:tcBorders>
            <w:shd w:val="clear" w:color="auto" w:fill="auto"/>
            <w:vAlign w:val="center"/>
            <w:hideMark/>
          </w:tcPr>
          <w:p w14:paraId="6BF4266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30.5</w:t>
            </w:r>
          </w:p>
        </w:tc>
        <w:tc>
          <w:tcPr>
            <w:tcW w:w="884" w:type="dxa"/>
            <w:tcBorders>
              <w:top w:val="nil"/>
              <w:left w:val="nil"/>
              <w:bottom w:val="single" w:sz="4" w:space="0" w:color="auto"/>
              <w:right w:val="single" w:sz="4" w:space="0" w:color="auto"/>
            </w:tcBorders>
            <w:shd w:val="clear" w:color="auto" w:fill="auto"/>
            <w:vAlign w:val="center"/>
            <w:hideMark/>
          </w:tcPr>
          <w:p w14:paraId="1073172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32.2</w:t>
            </w:r>
          </w:p>
        </w:tc>
        <w:tc>
          <w:tcPr>
            <w:tcW w:w="884" w:type="dxa"/>
            <w:tcBorders>
              <w:top w:val="nil"/>
              <w:left w:val="nil"/>
              <w:bottom w:val="single" w:sz="4" w:space="0" w:color="auto"/>
              <w:right w:val="single" w:sz="4" w:space="0" w:color="auto"/>
            </w:tcBorders>
            <w:shd w:val="clear" w:color="auto" w:fill="auto"/>
            <w:vAlign w:val="center"/>
            <w:hideMark/>
          </w:tcPr>
          <w:p w14:paraId="2A4B772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41.2</w:t>
            </w:r>
          </w:p>
        </w:tc>
        <w:tc>
          <w:tcPr>
            <w:tcW w:w="884" w:type="dxa"/>
            <w:tcBorders>
              <w:top w:val="nil"/>
              <w:left w:val="nil"/>
              <w:bottom w:val="single" w:sz="4" w:space="0" w:color="auto"/>
              <w:right w:val="single" w:sz="4" w:space="0" w:color="auto"/>
            </w:tcBorders>
            <w:shd w:val="clear" w:color="auto" w:fill="auto"/>
            <w:vAlign w:val="center"/>
            <w:hideMark/>
          </w:tcPr>
          <w:p w14:paraId="2C26DA0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35.6</w:t>
            </w:r>
          </w:p>
        </w:tc>
        <w:tc>
          <w:tcPr>
            <w:tcW w:w="893" w:type="dxa"/>
            <w:tcBorders>
              <w:top w:val="nil"/>
              <w:left w:val="nil"/>
              <w:bottom w:val="single" w:sz="4" w:space="0" w:color="auto"/>
              <w:right w:val="single" w:sz="4" w:space="0" w:color="auto"/>
            </w:tcBorders>
            <w:shd w:val="clear" w:color="auto" w:fill="auto"/>
            <w:vAlign w:val="center"/>
            <w:hideMark/>
          </w:tcPr>
          <w:p w14:paraId="6987F81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27.6</w:t>
            </w:r>
          </w:p>
        </w:tc>
        <w:tc>
          <w:tcPr>
            <w:tcW w:w="1294" w:type="dxa"/>
            <w:tcBorders>
              <w:top w:val="nil"/>
              <w:left w:val="nil"/>
              <w:bottom w:val="single" w:sz="4" w:space="0" w:color="auto"/>
              <w:right w:val="single" w:sz="4" w:space="0" w:color="auto"/>
            </w:tcBorders>
            <w:shd w:val="clear" w:color="auto" w:fill="auto"/>
            <w:vAlign w:val="center"/>
            <w:hideMark/>
          </w:tcPr>
          <w:p w14:paraId="2046771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42957"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34FA8DE4"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5FBEB88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DT35</w:t>
            </w:r>
          </w:p>
        </w:tc>
        <w:tc>
          <w:tcPr>
            <w:tcW w:w="1073" w:type="dxa"/>
            <w:tcBorders>
              <w:top w:val="nil"/>
              <w:left w:val="nil"/>
              <w:bottom w:val="single" w:sz="4" w:space="0" w:color="auto"/>
              <w:right w:val="single" w:sz="4" w:space="0" w:color="auto"/>
            </w:tcBorders>
            <w:shd w:val="clear" w:color="auto" w:fill="auto"/>
            <w:vAlign w:val="center"/>
            <w:hideMark/>
          </w:tcPr>
          <w:p w14:paraId="32B9E65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436923</w:t>
            </w:r>
          </w:p>
        </w:tc>
        <w:tc>
          <w:tcPr>
            <w:tcW w:w="1183" w:type="dxa"/>
            <w:tcBorders>
              <w:top w:val="nil"/>
              <w:left w:val="nil"/>
              <w:bottom w:val="single" w:sz="4" w:space="0" w:color="auto"/>
              <w:right w:val="single" w:sz="4" w:space="0" w:color="auto"/>
            </w:tcBorders>
            <w:shd w:val="clear" w:color="auto" w:fill="auto"/>
            <w:vAlign w:val="center"/>
            <w:hideMark/>
          </w:tcPr>
          <w:p w14:paraId="20C7570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565967</w:t>
            </w:r>
          </w:p>
        </w:tc>
        <w:tc>
          <w:tcPr>
            <w:tcW w:w="884" w:type="dxa"/>
            <w:tcBorders>
              <w:top w:val="nil"/>
              <w:left w:val="nil"/>
              <w:bottom w:val="single" w:sz="4" w:space="0" w:color="auto"/>
              <w:right w:val="single" w:sz="4" w:space="0" w:color="auto"/>
            </w:tcBorders>
            <w:shd w:val="clear" w:color="auto" w:fill="auto"/>
            <w:vAlign w:val="center"/>
            <w:hideMark/>
          </w:tcPr>
          <w:p w14:paraId="1A6267D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33.9</w:t>
            </w:r>
          </w:p>
        </w:tc>
        <w:tc>
          <w:tcPr>
            <w:tcW w:w="884" w:type="dxa"/>
            <w:tcBorders>
              <w:top w:val="nil"/>
              <w:left w:val="nil"/>
              <w:bottom w:val="single" w:sz="4" w:space="0" w:color="auto"/>
              <w:right w:val="single" w:sz="4" w:space="0" w:color="auto"/>
            </w:tcBorders>
            <w:shd w:val="clear" w:color="auto" w:fill="auto"/>
            <w:vAlign w:val="center"/>
            <w:hideMark/>
          </w:tcPr>
          <w:p w14:paraId="4C362A6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24.4</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264D7D5F" w14:textId="568183DD"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17.00</w:t>
            </w:r>
          </w:p>
        </w:tc>
        <w:tc>
          <w:tcPr>
            <w:tcW w:w="884" w:type="dxa"/>
            <w:tcBorders>
              <w:top w:val="nil"/>
              <w:left w:val="nil"/>
              <w:bottom w:val="single" w:sz="4" w:space="0" w:color="auto"/>
              <w:right w:val="single" w:sz="4" w:space="0" w:color="auto"/>
            </w:tcBorders>
            <w:shd w:val="clear" w:color="auto" w:fill="auto"/>
            <w:vAlign w:val="center"/>
            <w:hideMark/>
          </w:tcPr>
          <w:p w14:paraId="05CF7CE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13.8</w:t>
            </w:r>
          </w:p>
        </w:tc>
        <w:tc>
          <w:tcPr>
            <w:tcW w:w="884" w:type="dxa"/>
            <w:tcBorders>
              <w:top w:val="nil"/>
              <w:left w:val="nil"/>
              <w:bottom w:val="single" w:sz="4" w:space="0" w:color="auto"/>
              <w:right w:val="single" w:sz="4" w:space="0" w:color="auto"/>
            </w:tcBorders>
            <w:shd w:val="clear" w:color="auto" w:fill="auto"/>
            <w:vAlign w:val="center"/>
            <w:hideMark/>
          </w:tcPr>
          <w:p w14:paraId="03F695A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17.4</w:t>
            </w:r>
          </w:p>
        </w:tc>
        <w:tc>
          <w:tcPr>
            <w:tcW w:w="884" w:type="dxa"/>
            <w:tcBorders>
              <w:top w:val="nil"/>
              <w:left w:val="nil"/>
              <w:bottom w:val="single" w:sz="4" w:space="0" w:color="auto"/>
              <w:right w:val="single" w:sz="4" w:space="0" w:color="auto"/>
            </w:tcBorders>
            <w:shd w:val="clear" w:color="auto" w:fill="auto"/>
            <w:vAlign w:val="center"/>
            <w:hideMark/>
          </w:tcPr>
          <w:p w14:paraId="25D7562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16.7</w:t>
            </w:r>
          </w:p>
        </w:tc>
        <w:tc>
          <w:tcPr>
            <w:tcW w:w="884" w:type="dxa"/>
            <w:tcBorders>
              <w:top w:val="nil"/>
              <w:left w:val="nil"/>
              <w:bottom w:val="single" w:sz="4" w:space="0" w:color="auto"/>
              <w:right w:val="single" w:sz="4" w:space="0" w:color="auto"/>
            </w:tcBorders>
            <w:shd w:val="clear" w:color="auto" w:fill="auto"/>
            <w:vAlign w:val="center"/>
            <w:hideMark/>
          </w:tcPr>
          <w:p w14:paraId="5110B1A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10.5</w:t>
            </w:r>
          </w:p>
        </w:tc>
        <w:tc>
          <w:tcPr>
            <w:tcW w:w="884" w:type="dxa"/>
            <w:tcBorders>
              <w:top w:val="nil"/>
              <w:left w:val="nil"/>
              <w:bottom w:val="single" w:sz="4" w:space="0" w:color="auto"/>
              <w:right w:val="single" w:sz="4" w:space="0" w:color="auto"/>
            </w:tcBorders>
            <w:shd w:val="clear" w:color="auto" w:fill="auto"/>
            <w:vAlign w:val="center"/>
            <w:hideMark/>
          </w:tcPr>
          <w:p w14:paraId="087CBA0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24.4</w:t>
            </w:r>
          </w:p>
        </w:tc>
        <w:tc>
          <w:tcPr>
            <w:tcW w:w="884" w:type="dxa"/>
            <w:tcBorders>
              <w:top w:val="nil"/>
              <w:left w:val="nil"/>
              <w:bottom w:val="single" w:sz="4" w:space="0" w:color="auto"/>
              <w:right w:val="single" w:sz="4" w:space="0" w:color="auto"/>
            </w:tcBorders>
            <w:shd w:val="clear" w:color="auto" w:fill="auto"/>
            <w:vAlign w:val="center"/>
            <w:hideMark/>
          </w:tcPr>
          <w:p w14:paraId="33F8536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27.1</w:t>
            </w:r>
          </w:p>
        </w:tc>
        <w:tc>
          <w:tcPr>
            <w:tcW w:w="884" w:type="dxa"/>
            <w:tcBorders>
              <w:top w:val="nil"/>
              <w:left w:val="nil"/>
              <w:bottom w:val="single" w:sz="4" w:space="0" w:color="auto"/>
              <w:right w:val="single" w:sz="4" w:space="0" w:color="auto"/>
            </w:tcBorders>
            <w:shd w:val="clear" w:color="auto" w:fill="auto"/>
            <w:vAlign w:val="center"/>
            <w:hideMark/>
          </w:tcPr>
          <w:p w14:paraId="58A4D2F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30.9</w:t>
            </w:r>
          </w:p>
        </w:tc>
        <w:tc>
          <w:tcPr>
            <w:tcW w:w="884" w:type="dxa"/>
            <w:tcBorders>
              <w:top w:val="nil"/>
              <w:left w:val="nil"/>
              <w:bottom w:val="single" w:sz="4" w:space="0" w:color="auto"/>
              <w:right w:val="single" w:sz="4" w:space="0" w:color="auto"/>
            </w:tcBorders>
            <w:shd w:val="clear" w:color="auto" w:fill="auto"/>
            <w:vAlign w:val="center"/>
            <w:hideMark/>
          </w:tcPr>
          <w:p w14:paraId="463D1B5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29.4</w:t>
            </w:r>
          </w:p>
        </w:tc>
        <w:tc>
          <w:tcPr>
            <w:tcW w:w="893" w:type="dxa"/>
            <w:tcBorders>
              <w:top w:val="nil"/>
              <w:left w:val="nil"/>
              <w:bottom w:val="single" w:sz="4" w:space="0" w:color="auto"/>
              <w:right w:val="single" w:sz="4" w:space="0" w:color="auto"/>
            </w:tcBorders>
            <w:shd w:val="clear" w:color="auto" w:fill="auto"/>
            <w:vAlign w:val="center"/>
            <w:hideMark/>
          </w:tcPr>
          <w:p w14:paraId="314E2CB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22.6</w:t>
            </w:r>
          </w:p>
        </w:tc>
        <w:tc>
          <w:tcPr>
            <w:tcW w:w="1294" w:type="dxa"/>
            <w:tcBorders>
              <w:top w:val="nil"/>
              <w:left w:val="nil"/>
              <w:bottom w:val="single" w:sz="4" w:space="0" w:color="auto"/>
              <w:right w:val="single" w:sz="4" w:space="0" w:color="auto"/>
            </w:tcBorders>
            <w:shd w:val="clear" w:color="auto" w:fill="auto"/>
            <w:vAlign w:val="center"/>
            <w:hideMark/>
          </w:tcPr>
          <w:p w14:paraId="1F1597E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27B8D"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2670FD18"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0B222A1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DT36</w:t>
            </w:r>
          </w:p>
        </w:tc>
        <w:tc>
          <w:tcPr>
            <w:tcW w:w="1073" w:type="dxa"/>
            <w:tcBorders>
              <w:top w:val="nil"/>
              <w:left w:val="nil"/>
              <w:bottom w:val="single" w:sz="4" w:space="0" w:color="auto"/>
              <w:right w:val="single" w:sz="4" w:space="0" w:color="auto"/>
            </w:tcBorders>
            <w:shd w:val="clear" w:color="auto" w:fill="auto"/>
            <w:vAlign w:val="center"/>
            <w:hideMark/>
          </w:tcPr>
          <w:p w14:paraId="38B65C8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436727</w:t>
            </w:r>
          </w:p>
        </w:tc>
        <w:tc>
          <w:tcPr>
            <w:tcW w:w="1183" w:type="dxa"/>
            <w:tcBorders>
              <w:top w:val="nil"/>
              <w:left w:val="nil"/>
              <w:bottom w:val="single" w:sz="4" w:space="0" w:color="auto"/>
              <w:right w:val="single" w:sz="4" w:space="0" w:color="auto"/>
            </w:tcBorders>
            <w:shd w:val="clear" w:color="auto" w:fill="auto"/>
            <w:vAlign w:val="center"/>
            <w:hideMark/>
          </w:tcPr>
          <w:p w14:paraId="470941A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566374</w:t>
            </w:r>
          </w:p>
        </w:tc>
        <w:tc>
          <w:tcPr>
            <w:tcW w:w="884" w:type="dxa"/>
            <w:tcBorders>
              <w:top w:val="nil"/>
              <w:left w:val="nil"/>
              <w:bottom w:val="single" w:sz="4" w:space="0" w:color="auto"/>
              <w:right w:val="single" w:sz="4" w:space="0" w:color="auto"/>
            </w:tcBorders>
            <w:shd w:val="clear" w:color="auto" w:fill="auto"/>
            <w:vAlign w:val="center"/>
            <w:hideMark/>
          </w:tcPr>
          <w:p w14:paraId="4929430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4EFCE0F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22.4</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65F515A1" w14:textId="17F80264"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20.65</w:t>
            </w:r>
          </w:p>
        </w:tc>
        <w:tc>
          <w:tcPr>
            <w:tcW w:w="884" w:type="dxa"/>
            <w:tcBorders>
              <w:top w:val="nil"/>
              <w:left w:val="nil"/>
              <w:bottom w:val="single" w:sz="4" w:space="0" w:color="auto"/>
              <w:right w:val="single" w:sz="4" w:space="0" w:color="auto"/>
            </w:tcBorders>
            <w:shd w:val="clear" w:color="auto" w:fill="auto"/>
            <w:vAlign w:val="center"/>
            <w:hideMark/>
          </w:tcPr>
          <w:p w14:paraId="064BB48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17.4</w:t>
            </w:r>
          </w:p>
        </w:tc>
        <w:tc>
          <w:tcPr>
            <w:tcW w:w="884" w:type="dxa"/>
            <w:tcBorders>
              <w:top w:val="nil"/>
              <w:left w:val="nil"/>
              <w:bottom w:val="single" w:sz="4" w:space="0" w:color="auto"/>
              <w:right w:val="single" w:sz="4" w:space="0" w:color="auto"/>
            </w:tcBorders>
            <w:shd w:val="clear" w:color="auto" w:fill="auto"/>
            <w:vAlign w:val="center"/>
            <w:hideMark/>
          </w:tcPr>
          <w:p w14:paraId="21588BB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20.5</w:t>
            </w:r>
          </w:p>
        </w:tc>
        <w:tc>
          <w:tcPr>
            <w:tcW w:w="884" w:type="dxa"/>
            <w:tcBorders>
              <w:top w:val="nil"/>
              <w:left w:val="nil"/>
              <w:bottom w:val="single" w:sz="4" w:space="0" w:color="auto"/>
              <w:right w:val="single" w:sz="4" w:space="0" w:color="auto"/>
            </w:tcBorders>
            <w:shd w:val="clear" w:color="auto" w:fill="auto"/>
            <w:vAlign w:val="center"/>
            <w:hideMark/>
          </w:tcPr>
          <w:p w14:paraId="5CF5811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22.1</w:t>
            </w:r>
          </w:p>
        </w:tc>
        <w:tc>
          <w:tcPr>
            <w:tcW w:w="884" w:type="dxa"/>
            <w:tcBorders>
              <w:top w:val="nil"/>
              <w:left w:val="nil"/>
              <w:bottom w:val="single" w:sz="4" w:space="0" w:color="auto"/>
              <w:right w:val="single" w:sz="4" w:space="0" w:color="auto"/>
            </w:tcBorders>
            <w:shd w:val="clear" w:color="auto" w:fill="auto"/>
            <w:vAlign w:val="center"/>
            <w:hideMark/>
          </w:tcPr>
          <w:p w14:paraId="5166285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10.3</w:t>
            </w:r>
          </w:p>
        </w:tc>
        <w:tc>
          <w:tcPr>
            <w:tcW w:w="884" w:type="dxa"/>
            <w:tcBorders>
              <w:top w:val="nil"/>
              <w:left w:val="nil"/>
              <w:bottom w:val="single" w:sz="4" w:space="0" w:color="auto"/>
              <w:right w:val="single" w:sz="4" w:space="0" w:color="auto"/>
            </w:tcBorders>
            <w:shd w:val="clear" w:color="auto" w:fill="auto"/>
            <w:vAlign w:val="center"/>
            <w:hideMark/>
          </w:tcPr>
          <w:p w14:paraId="5727964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27.9</w:t>
            </w:r>
          </w:p>
        </w:tc>
        <w:tc>
          <w:tcPr>
            <w:tcW w:w="884" w:type="dxa"/>
            <w:tcBorders>
              <w:top w:val="nil"/>
              <w:left w:val="nil"/>
              <w:bottom w:val="single" w:sz="4" w:space="0" w:color="auto"/>
              <w:right w:val="single" w:sz="4" w:space="0" w:color="auto"/>
            </w:tcBorders>
            <w:shd w:val="clear" w:color="auto" w:fill="auto"/>
            <w:vAlign w:val="center"/>
            <w:hideMark/>
          </w:tcPr>
          <w:p w14:paraId="24BC425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27.0</w:t>
            </w:r>
          </w:p>
        </w:tc>
        <w:tc>
          <w:tcPr>
            <w:tcW w:w="884" w:type="dxa"/>
            <w:tcBorders>
              <w:top w:val="nil"/>
              <w:left w:val="nil"/>
              <w:bottom w:val="single" w:sz="4" w:space="0" w:color="auto"/>
              <w:right w:val="single" w:sz="4" w:space="0" w:color="auto"/>
            </w:tcBorders>
            <w:shd w:val="clear" w:color="auto" w:fill="auto"/>
            <w:vAlign w:val="center"/>
            <w:hideMark/>
          </w:tcPr>
          <w:p w14:paraId="6549A75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33.9</w:t>
            </w:r>
          </w:p>
        </w:tc>
        <w:tc>
          <w:tcPr>
            <w:tcW w:w="884" w:type="dxa"/>
            <w:tcBorders>
              <w:top w:val="nil"/>
              <w:left w:val="nil"/>
              <w:bottom w:val="single" w:sz="4" w:space="0" w:color="auto"/>
              <w:right w:val="single" w:sz="4" w:space="0" w:color="auto"/>
            </w:tcBorders>
            <w:shd w:val="clear" w:color="auto" w:fill="auto"/>
            <w:vAlign w:val="center"/>
            <w:hideMark/>
          </w:tcPr>
          <w:p w14:paraId="55A5CD7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31.7</w:t>
            </w:r>
          </w:p>
        </w:tc>
        <w:tc>
          <w:tcPr>
            <w:tcW w:w="893" w:type="dxa"/>
            <w:tcBorders>
              <w:top w:val="nil"/>
              <w:left w:val="nil"/>
              <w:bottom w:val="single" w:sz="4" w:space="0" w:color="auto"/>
              <w:right w:val="single" w:sz="4" w:space="0" w:color="auto"/>
            </w:tcBorders>
            <w:shd w:val="clear" w:color="auto" w:fill="auto"/>
            <w:vAlign w:val="center"/>
            <w:hideMark/>
          </w:tcPr>
          <w:p w14:paraId="54C7F05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23.4</w:t>
            </w:r>
          </w:p>
        </w:tc>
        <w:tc>
          <w:tcPr>
            <w:tcW w:w="1294" w:type="dxa"/>
            <w:tcBorders>
              <w:top w:val="nil"/>
              <w:left w:val="nil"/>
              <w:bottom w:val="single" w:sz="4" w:space="0" w:color="auto"/>
              <w:right w:val="single" w:sz="4" w:space="0" w:color="auto"/>
            </w:tcBorders>
            <w:shd w:val="clear" w:color="auto" w:fill="auto"/>
            <w:vAlign w:val="center"/>
            <w:hideMark/>
          </w:tcPr>
          <w:p w14:paraId="155B6C6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B8E5A"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3E0CF288" w14:textId="77777777" w:rsidTr="00B919E8">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57AA58D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DT37</w:t>
            </w:r>
          </w:p>
        </w:tc>
        <w:tc>
          <w:tcPr>
            <w:tcW w:w="1073" w:type="dxa"/>
            <w:tcBorders>
              <w:top w:val="nil"/>
              <w:left w:val="nil"/>
              <w:bottom w:val="single" w:sz="4" w:space="0" w:color="auto"/>
              <w:right w:val="single" w:sz="4" w:space="0" w:color="auto"/>
            </w:tcBorders>
            <w:shd w:val="clear" w:color="auto" w:fill="auto"/>
            <w:vAlign w:val="center"/>
            <w:hideMark/>
          </w:tcPr>
          <w:p w14:paraId="3D1FD34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436216</w:t>
            </w:r>
          </w:p>
        </w:tc>
        <w:tc>
          <w:tcPr>
            <w:tcW w:w="1183" w:type="dxa"/>
            <w:tcBorders>
              <w:top w:val="nil"/>
              <w:left w:val="nil"/>
              <w:bottom w:val="single" w:sz="4" w:space="0" w:color="auto"/>
              <w:right w:val="single" w:sz="4" w:space="0" w:color="auto"/>
            </w:tcBorders>
            <w:shd w:val="clear" w:color="auto" w:fill="auto"/>
            <w:vAlign w:val="center"/>
            <w:hideMark/>
          </w:tcPr>
          <w:p w14:paraId="08F91F1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566216</w:t>
            </w:r>
          </w:p>
        </w:tc>
        <w:tc>
          <w:tcPr>
            <w:tcW w:w="884" w:type="dxa"/>
            <w:tcBorders>
              <w:top w:val="nil"/>
              <w:left w:val="nil"/>
              <w:bottom w:val="single" w:sz="4" w:space="0" w:color="auto"/>
              <w:right w:val="single" w:sz="4" w:space="0" w:color="auto"/>
            </w:tcBorders>
            <w:shd w:val="clear" w:color="auto" w:fill="auto"/>
            <w:vAlign w:val="center"/>
            <w:hideMark/>
          </w:tcPr>
          <w:p w14:paraId="582A761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37.7</w:t>
            </w:r>
          </w:p>
        </w:tc>
        <w:tc>
          <w:tcPr>
            <w:tcW w:w="884" w:type="dxa"/>
            <w:tcBorders>
              <w:top w:val="nil"/>
              <w:left w:val="nil"/>
              <w:bottom w:val="single" w:sz="4" w:space="0" w:color="auto"/>
              <w:right w:val="single" w:sz="4" w:space="0" w:color="auto"/>
            </w:tcBorders>
            <w:shd w:val="clear" w:color="auto" w:fill="auto"/>
            <w:vAlign w:val="center"/>
            <w:hideMark/>
          </w:tcPr>
          <w:p w14:paraId="70014E2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5C3A23CC" w14:textId="6112EB27" w:rsidR="00FF3EE6" w:rsidRPr="00FF3EE6" w:rsidRDefault="00FF3EE6" w:rsidP="00FF3EE6">
            <w:pPr>
              <w:spacing w:before="0" w:after="0" w:line="240" w:lineRule="auto"/>
              <w:jc w:val="center"/>
              <w:rPr>
                <w:rFonts w:eastAsia="Times New Roman" w:cs="Arial"/>
                <w:b/>
                <w:bCs/>
                <w:color w:val="FF0000"/>
                <w:sz w:val="20"/>
                <w:szCs w:val="20"/>
                <w:lang w:eastAsia="en-GB"/>
              </w:rPr>
            </w:pPr>
          </w:p>
        </w:tc>
        <w:tc>
          <w:tcPr>
            <w:tcW w:w="884" w:type="dxa"/>
            <w:tcBorders>
              <w:top w:val="nil"/>
              <w:left w:val="single" w:sz="4" w:space="0" w:color="auto"/>
              <w:bottom w:val="single" w:sz="4" w:space="0" w:color="auto"/>
              <w:right w:val="single" w:sz="4" w:space="0" w:color="auto"/>
            </w:tcBorders>
            <w:shd w:val="clear" w:color="auto" w:fill="auto"/>
            <w:vAlign w:val="center"/>
            <w:hideMark/>
          </w:tcPr>
          <w:p w14:paraId="3D7C3FB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62A5644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7E053AA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23.1</w:t>
            </w:r>
          </w:p>
        </w:tc>
        <w:tc>
          <w:tcPr>
            <w:tcW w:w="884" w:type="dxa"/>
            <w:tcBorders>
              <w:top w:val="nil"/>
              <w:left w:val="nil"/>
              <w:bottom w:val="single" w:sz="4" w:space="0" w:color="auto"/>
              <w:right w:val="single" w:sz="4" w:space="0" w:color="auto"/>
            </w:tcBorders>
            <w:shd w:val="clear" w:color="auto" w:fill="auto"/>
            <w:vAlign w:val="center"/>
            <w:hideMark/>
          </w:tcPr>
          <w:p w14:paraId="29A9103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14.9</w:t>
            </w:r>
          </w:p>
        </w:tc>
        <w:tc>
          <w:tcPr>
            <w:tcW w:w="884" w:type="dxa"/>
            <w:tcBorders>
              <w:top w:val="nil"/>
              <w:left w:val="nil"/>
              <w:bottom w:val="single" w:sz="4" w:space="0" w:color="auto"/>
              <w:right w:val="single" w:sz="4" w:space="0" w:color="auto"/>
            </w:tcBorders>
            <w:shd w:val="clear" w:color="auto" w:fill="auto"/>
            <w:vAlign w:val="center"/>
            <w:hideMark/>
          </w:tcPr>
          <w:p w14:paraId="55DFA9C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33.8</w:t>
            </w:r>
          </w:p>
        </w:tc>
        <w:tc>
          <w:tcPr>
            <w:tcW w:w="884" w:type="dxa"/>
            <w:tcBorders>
              <w:top w:val="nil"/>
              <w:left w:val="nil"/>
              <w:bottom w:val="single" w:sz="4" w:space="0" w:color="auto"/>
              <w:right w:val="single" w:sz="4" w:space="0" w:color="auto"/>
            </w:tcBorders>
            <w:shd w:val="clear" w:color="auto" w:fill="auto"/>
            <w:vAlign w:val="center"/>
            <w:hideMark/>
          </w:tcPr>
          <w:p w14:paraId="0081200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21.9</w:t>
            </w:r>
          </w:p>
        </w:tc>
        <w:tc>
          <w:tcPr>
            <w:tcW w:w="884" w:type="dxa"/>
            <w:tcBorders>
              <w:top w:val="nil"/>
              <w:left w:val="nil"/>
              <w:bottom w:val="single" w:sz="4" w:space="0" w:color="auto"/>
              <w:right w:val="single" w:sz="4" w:space="0" w:color="auto"/>
            </w:tcBorders>
            <w:shd w:val="clear" w:color="auto" w:fill="auto"/>
            <w:vAlign w:val="center"/>
            <w:hideMark/>
          </w:tcPr>
          <w:p w14:paraId="74B71D4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41.2</w:t>
            </w:r>
          </w:p>
        </w:tc>
        <w:tc>
          <w:tcPr>
            <w:tcW w:w="884" w:type="dxa"/>
            <w:tcBorders>
              <w:top w:val="nil"/>
              <w:left w:val="nil"/>
              <w:bottom w:val="single" w:sz="4" w:space="0" w:color="auto"/>
              <w:right w:val="single" w:sz="4" w:space="0" w:color="auto"/>
            </w:tcBorders>
            <w:shd w:val="clear" w:color="auto" w:fill="auto"/>
            <w:vAlign w:val="center"/>
            <w:hideMark/>
          </w:tcPr>
          <w:p w14:paraId="2FEB6AD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93" w:type="dxa"/>
            <w:tcBorders>
              <w:top w:val="nil"/>
              <w:left w:val="nil"/>
              <w:bottom w:val="single" w:sz="4" w:space="0" w:color="auto"/>
              <w:right w:val="single" w:sz="4" w:space="0" w:color="auto"/>
            </w:tcBorders>
            <w:shd w:val="clear" w:color="auto" w:fill="auto"/>
            <w:vAlign w:val="center"/>
            <w:hideMark/>
          </w:tcPr>
          <w:p w14:paraId="756D852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27.2</w:t>
            </w:r>
          </w:p>
        </w:tc>
        <w:tc>
          <w:tcPr>
            <w:tcW w:w="1294" w:type="dxa"/>
            <w:tcBorders>
              <w:top w:val="nil"/>
              <w:left w:val="nil"/>
              <w:bottom w:val="single" w:sz="4" w:space="0" w:color="auto"/>
              <w:right w:val="single" w:sz="4" w:space="0" w:color="auto"/>
            </w:tcBorders>
            <w:shd w:val="clear" w:color="auto" w:fill="auto"/>
            <w:vAlign w:val="center"/>
            <w:hideMark/>
          </w:tcPr>
          <w:p w14:paraId="059A0FF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37F07"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6E6A8740" w14:textId="77777777" w:rsidTr="00515B19">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11C10DB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DT38</w:t>
            </w:r>
          </w:p>
        </w:tc>
        <w:tc>
          <w:tcPr>
            <w:tcW w:w="1073" w:type="dxa"/>
            <w:tcBorders>
              <w:top w:val="nil"/>
              <w:left w:val="nil"/>
              <w:bottom w:val="single" w:sz="4" w:space="0" w:color="auto"/>
              <w:right w:val="single" w:sz="4" w:space="0" w:color="auto"/>
            </w:tcBorders>
            <w:shd w:val="clear" w:color="auto" w:fill="auto"/>
            <w:vAlign w:val="center"/>
            <w:hideMark/>
          </w:tcPr>
          <w:p w14:paraId="3638332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436169</w:t>
            </w:r>
          </w:p>
        </w:tc>
        <w:tc>
          <w:tcPr>
            <w:tcW w:w="1183" w:type="dxa"/>
            <w:tcBorders>
              <w:top w:val="nil"/>
              <w:left w:val="nil"/>
              <w:bottom w:val="single" w:sz="4" w:space="0" w:color="auto"/>
              <w:right w:val="single" w:sz="4" w:space="0" w:color="auto"/>
            </w:tcBorders>
            <w:shd w:val="clear" w:color="auto" w:fill="auto"/>
            <w:vAlign w:val="center"/>
            <w:hideMark/>
          </w:tcPr>
          <w:p w14:paraId="250FE4F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565876</w:t>
            </w:r>
          </w:p>
        </w:tc>
        <w:tc>
          <w:tcPr>
            <w:tcW w:w="884" w:type="dxa"/>
            <w:tcBorders>
              <w:top w:val="nil"/>
              <w:left w:val="nil"/>
              <w:bottom w:val="single" w:sz="4" w:space="0" w:color="auto"/>
              <w:right w:val="single" w:sz="4" w:space="0" w:color="auto"/>
            </w:tcBorders>
            <w:shd w:val="clear" w:color="auto" w:fill="auto"/>
            <w:vAlign w:val="center"/>
            <w:hideMark/>
          </w:tcPr>
          <w:p w14:paraId="6DCFCA9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25.2</w:t>
            </w:r>
          </w:p>
        </w:tc>
        <w:tc>
          <w:tcPr>
            <w:tcW w:w="884" w:type="dxa"/>
            <w:tcBorders>
              <w:top w:val="nil"/>
              <w:left w:val="nil"/>
              <w:bottom w:val="single" w:sz="4" w:space="0" w:color="auto"/>
              <w:right w:val="single" w:sz="4" w:space="0" w:color="auto"/>
            </w:tcBorders>
            <w:shd w:val="clear" w:color="auto" w:fill="auto"/>
            <w:vAlign w:val="center"/>
            <w:hideMark/>
          </w:tcPr>
          <w:p w14:paraId="579C148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18.4</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3EDC672D" w14:textId="3E88A9C6" w:rsidR="00FF3EE6" w:rsidRPr="00FF3EE6" w:rsidRDefault="00FF3EE6" w:rsidP="00FF3EE6">
            <w:pPr>
              <w:spacing w:before="0" w:after="0" w:line="240" w:lineRule="auto"/>
              <w:jc w:val="center"/>
              <w:rPr>
                <w:rFonts w:eastAsia="Times New Roman" w:cs="Arial"/>
                <w:b/>
                <w:bCs/>
                <w:color w:val="FF0000"/>
                <w:sz w:val="20"/>
                <w:szCs w:val="20"/>
                <w:lang w:eastAsia="en-GB"/>
              </w:rPr>
            </w:pPr>
          </w:p>
        </w:tc>
        <w:tc>
          <w:tcPr>
            <w:tcW w:w="884" w:type="dxa"/>
            <w:tcBorders>
              <w:top w:val="nil"/>
              <w:left w:val="single" w:sz="4" w:space="0" w:color="auto"/>
              <w:bottom w:val="single" w:sz="4" w:space="0" w:color="auto"/>
              <w:right w:val="single" w:sz="4" w:space="0" w:color="auto"/>
            </w:tcBorders>
            <w:shd w:val="clear" w:color="auto" w:fill="auto"/>
            <w:vAlign w:val="center"/>
            <w:hideMark/>
          </w:tcPr>
          <w:p w14:paraId="286F022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35.2</w:t>
            </w:r>
          </w:p>
        </w:tc>
        <w:tc>
          <w:tcPr>
            <w:tcW w:w="884" w:type="dxa"/>
            <w:tcBorders>
              <w:top w:val="nil"/>
              <w:left w:val="nil"/>
              <w:bottom w:val="single" w:sz="4" w:space="0" w:color="auto"/>
              <w:right w:val="single" w:sz="4" w:space="0" w:color="auto"/>
            </w:tcBorders>
            <w:shd w:val="clear" w:color="auto" w:fill="auto"/>
            <w:vAlign w:val="center"/>
            <w:hideMark/>
          </w:tcPr>
          <w:p w14:paraId="45B1DBE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11.4</w:t>
            </w:r>
          </w:p>
        </w:tc>
        <w:tc>
          <w:tcPr>
            <w:tcW w:w="884" w:type="dxa"/>
            <w:tcBorders>
              <w:top w:val="nil"/>
              <w:left w:val="nil"/>
              <w:bottom w:val="single" w:sz="4" w:space="0" w:color="auto"/>
              <w:right w:val="single" w:sz="4" w:space="0" w:color="auto"/>
            </w:tcBorders>
            <w:shd w:val="clear" w:color="auto" w:fill="auto"/>
            <w:vAlign w:val="center"/>
            <w:hideMark/>
          </w:tcPr>
          <w:p w14:paraId="534EB31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15.4</w:t>
            </w:r>
          </w:p>
        </w:tc>
        <w:tc>
          <w:tcPr>
            <w:tcW w:w="884" w:type="dxa"/>
            <w:tcBorders>
              <w:top w:val="nil"/>
              <w:left w:val="nil"/>
              <w:bottom w:val="single" w:sz="4" w:space="0" w:color="auto"/>
              <w:right w:val="single" w:sz="4" w:space="0" w:color="auto"/>
            </w:tcBorders>
            <w:shd w:val="clear" w:color="auto" w:fill="auto"/>
            <w:vAlign w:val="center"/>
            <w:hideMark/>
          </w:tcPr>
          <w:p w14:paraId="0D3968B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7.2</w:t>
            </w:r>
          </w:p>
        </w:tc>
        <w:tc>
          <w:tcPr>
            <w:tcW w:w="884" w:type="dxa"/>
            <w:tcBorders>
              <w:top w:val="nil"/>
              <w:left w:val="nil"/>
              <w:bottom w:val="single" w:sz="4" w:space="0" w:color="auto"/>
              <w:right w:val="single" w:sz="4" w:space="0" w:color="auto"/>
            </w:tcBorders>
            <w:shd w:val="clear" w:color="auto" w:fill="auto"/>
            <w:vAlign w:val="center"/>
            <w:hideMark/>
          </w:tcPr>
          <w:p w14:paraId="6E7271B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18.6</w:t>
            </w:r>
          </w:p>
        </w:tc>
        <w:tc>
          <w:tcPr>
            <w:tcW w:w="884" w:type="dxa"/>
            <w:tcBorders>
              <w:top w:val="nil"/>
              <w:left w:val="nil"/>
              <w:bottom w:val="single" w:sz="4" w:space="0" w:color="auto"/>
              <w:right w:val="single" w:sz="4" w:space="0" w:color="auto"/>
            </w:tcBorders>
            <w:shd w:val="clear" w:color="auto" w:fill="auto"/>
            <w:vAlign w:val="center"/>
            <w:hideMark/>
          </w:tcPr>
          <w:p w14:paraId="37817FC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26.5</w:t>
            </w:r>
          </w:p>
        </w:tc>
        <w:tc>
          <w:tcPr>
            <w:tcW w:w="884" w:type="dxa"/>
            <w:tcBorders>
              <w:top w:val="nil"/>
              <w:left w:val="nil"/>
              <w:bottom w:val="single" w:sz="4" w:space="0" w:color="auto"/>
              <w:right w:val="single" w:sz="4" w:space="0" w:color="auto"/>
            </w:tcBorders>
            <w:shd w:val="clear" w:color="auto" w:fill="auto"/>
            <w:vAlign w:val="center"/>
            <w:hideMark/>
          </w:tcPr>
          <w:p w14:paraId="7E0ED5C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27.4</w:t>
            </w:r>
          </w:p>
        </w:tc>
        <w:tc>
          <w:tcPr>
            <w:tcW w:w="884" w:type="dxa"/>
            <w:tcBorders>
              <w:top w:val="nil"/>
              <w:left w:val="nil"/>
              <w:bottom w:val="single" w:sz="4" w:space="0" w:color="auto"/>
              <w:right w:val="single" w:sz="4" w:space="0" w:color="auto"/>
            </w:tcBorders>
            <w:shd w:val="clear" w:color="auto" w:fill="auto"/>
            <w:vAlign w:val="center"/>
            <w:hideMark/>
          </w:tcPr>
          <w:p w14:paraId="1A2BCB6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22.9</w:t>
            </w:r>
          </w:p>
        </w:tc>
        <w:tc>
          <w:tcPr>
            <w:tcW w:w="893" w:type="dxa"/>
            <w:tcBorders>
              <w:top w:val="nil"/>
              <w:left w:val="nil"/>
              <w:bottom w:val="single" w:sz="4" w:space="0" w:color="auto"/>
              <w:right w:val="single" w:sz="4" w:space="0" w:color="auto"/>
            </w:tcBorders>
            <w:shd w:val="clear" w:color="auto" w:fill="auto"/>
            <w:vAlign w:val="center"/>
            <w:hideMark/>
          </w:tcPr>
          <w:p w14:paraId="1D27B49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20.8</w:t>
            </w:r>
          </w:p>
        </w:tc>
        <w:tc>
          <w:tcPr>
            <w:tcW w:w="1294" w:type="dxa"/>
            <w:tcBorders>
              <w:top w:val="nil"/>
              <w:left w:val="nil"/>
              <w:bottom w:val="single" w:sz="4" w:space="0" w:color="auto"/>
              <w:right w:val="single" w:sz="4" w:space="0" w:color="auto"/>
            </w:tcBorders>
            <w:shd w:val="clear" w:color="auto" w:fill="auto"/>
            <w:vAlign w:val="center"/>
            <w:hideMark/>
          </w:tcPr>
          <w:p w14:paraId="1747F43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01F38"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75F34F15" w14:textId="77777777" w:rsidTr="007376CA">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07D38F4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DT39</w:t>
            </w:r>
          </w:p>
        </w:tc>
        <w:tc>
          <w:tcPr>
            <w:tcW w:w="1073" w:type="dxa"/>
            <w:tcBorders>
              <w:top w:val="nil"/>
              <w:left w:val="nil"/>
              <w:bottom w:val="single" w:sz="4" w:space="0" w:color="auto"/>
              <w:right w:val="single" w:sz="4" w:space="0" w:color="auto"/>
            </w:tcBorders>
            <w:shd w:val="clear" w:color="auto" w:fill="auto"/>
            <w:vAlign w:val="center"/>
            <w:hideMark/>
          </w:tcPr>
          <w:p w14:paraId="5A2C2EF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436098</w:t>
            </w:r>
          </w:p>
        </w:tc>
        <w:tc>
          <w:tcPr>
            <w:tcW w:w="1183" w:type="dxa"/>
            <w:tcBorders>
              <w:top w:val="nil"/>
              <w:left w:val="nil"/>
              <w:bottom w:val="single" w:sz="4" w:space="0" w:color="auto"/>
              <w:right w:val="single" w:sz="4" w:space="0" w:color="auto"/>
            </w:tcBorders>
            <w:shd w:val="clear" w:color="auto" w:fill="auto"/>
            <w:vAlign w:val="center"/>
            <w:hideMark/>
          </w:tcPr>
          <w:p w14:paraId="6C13B9C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565902</w:t>
            </w:r>
          </w:p>
        </w:tc>
        <w:tc>
          <w:tcPr>
            <w:tcW w:w="884" w:type="dxa"/>
            <w:tcBorders>
              <w:top w:val="nil"/>
              <w:left w:val="nil"/>
              <w:bottom w:val="single" w:sz="4" w:space="0" w:color="auto"/>
              <w:right w:val="single" w:sz="4" w:space="0" w:color="auto"/>
            </w:tcBorders>
            <w:shd w:val="clear" w:color="auto" w:fill="auto"/>
            <w:vAlign w:val="center"/>
            <w:hideMark/>
          </w:tcPr>
          <w:p w14:paraId="4BCC3DD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756D8D3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5BACAAD4" w14:textId="5EC2955B" w:rsidR="00FF3EE6" w:rsidRPr="00FF3EE6" w:rsidRDefault="00FF3EE6" w:rsidP="00FF3EE6">
            <w:pPr>
              <w:spacing w:before="0" w:after="0" w:line="240" w:lineRule="auto"/>
              <w:jc w:val="center"/>
              <w:rPr>
                <w:rFonts w:eastAsia="Times New Roman" w:cs="Arial"/>
                <w:b/>
                <w:bCs/>
                <w:color w:val="FF0000"/>
                <w:sz w:val="20"/>
                <w:szCs w:val="20"/>
                <w:lang w:eastAsia="en-GB"/>
              </w:rPr>
            </w:pPr>
          </w:p>
        </w:tc>
        <w:tc>
          <w:tcPr>
            <w:tcW w:w="884" w:type="dxa"/>
            <w:tcBorders>
              <w:top w:val="nil"/>
              <w:left w:val="single" w:sz="4" w:space="0" w:color="auto"/>
              <w:bottom w:val="single" w:sz="4" w:space="0" w:color="auto"/>
              <w:right w:val="single" w:sz="4" w:space="0" w:color="auto"/>
            </w:tcBorders>
            <w:shd w:val="clear" w:color="auto" w:fill="auto"/>
            <w:vAlign w:val="center"/>
            <w:hideMark/>
          </w:tcPr>
          <w:p w14:paraId="0A2270F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6654876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53DC365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421C937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5D525ED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3C0CA4A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4C14CED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554FEED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93" w:type="dxa"/>
            <w:tcBorders>
              <w:top w:val="nil"/>
              <w:left w:val="nil"/>
              <w:bottom w:val="single" w:sz="4" w:space="0" w:color="auto"/>
              <w:right w:val="single" w:sz="4" w:space="0" w:color="auto"/>
            </w:tcBorders>
            <w:shd w:val="clear" w:color="auto" w:fill="auto"/>
            <w:vAlign w:val="center"/>
            <w:hideMark/>
          </w:tcPr>
          <w:p w14:paraId="768A74A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B61D3" w14:textId="77777777" w:rsidR="00FF3EE6" w:rsidRPr="001D57F0" w:rsidRDefault="00FF3EE6" w:rsidP="00FF3EE6">
            <w:pPr>
              <w:spacing w:before="0" w:after="0" w:line="240" w:lineRule="auto"/>
              <w:jc w:val="center"/>
              <w:rPr>
                <w:rFonts w:eastAsia="Times New Roman" w:cs="Arial"/>
                <w:b/>
                <w:bCs/>
                <w:sz w:val="20"/>
                <w:szCs w:val="20"/>
                <w:lang w:eastAsia="en-GB"/>
              </w:rPr>
            </w:pPr>
            <w:r w:rsidRPr="001D57F0">
              <w:rPr>
                <w:rFonts w:eastAsia="Times New Roman" w:cs="Arial"/>
                <w:b/>
                <w:bCs/>
                <w:sz w:val="20"/>
                <w:szCs w:val="20"/>
                <w:lang w:eastAsia="en-GB"/>
              </w:rPr>
              <w:t>-</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4A60F"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28862B98"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122DDD5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DT40</w:t>
            </w:r>
          </w:p>
        </w:tc>
        <w:tc>
          <w:tcPr>
            <w:tcW w:w="1073" w:type="dxa"/>
            <w:tcBorders>
              <w:top w:val="nil"/>
              <w:left w:val="nil"/>
              <w:bottom w:val="single" w:sz="4" w:space="0" w:color="auto"/>
              <w:right w:val="single" w:sz="4" w:space="0" w:color="auto"/>
            </w:tcBorders>
            <w:shd w:val="clear" w:color="auto" w:fill="auto"/>
            <w:vAlign w:val="center"/>
            <w:hideMark/>
          </w:tcPr>
          <w:p w14:paraId="0490AD5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436597</w:t>
            </w:r>
          </w:p>
        </w:tc>
        <w:tc>
          <w:tcPr>
            <w:tcW w:w="1183" w:type="dxa"/>
            <w:tcBorders>
              <w:top w:val="nil"/>
              <w:left w:val="nil"/>
              <w:bottom w:val="single" w:sz="4" w:space="0" w:color="auto"/>
              <w:right w:val="single" w:sz="4" w:space="0" w:color="auto"/>
            </w:tcBorders>
            <w:shd w:val="clear" w:color="auto" w:fill="auto"/>
            <w:vAlign w:val="center"/>
            <w:hideMark/>
          </w:tcPr>
          <w:p w14:paraId="3D57BE6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567308</w:t>
            </w:r>
          </w:p>
        </w:tc>
        <w:tc>
          <w:tcPr>
            <w:tcW w:w="884" w:type="dxa"/>
            <w:tcBorders>
              <w:top w:val="nil"/>
              <w:left w:val="nil"/>
              <w:bottom w:val="single" w:sz="4" w:space="0" w:color="auto"/>
              <w:right w:val="single" w:sz="4" w:space="0" w:color="auto"/>
            </w:tcBorders>
            <w:shd w:val="clear" w:color="auto" w:fill="auto"/>
            <w:vAlign w:val="center"/>
            <w:hideMark/>
          </w:tcPr>
          <w:p w14:paraId="6A3115D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 </w:t>
            </w:r>
          </w:p>
        </w:tc>
        <w:tc>
          <w:tcPr>
            <w:tcW w:w="884" w:type="dxa"/>
            <w:tcBorders>
              <w:top w:val="nil"/>
              <w:left w:val="nil"/>
              <w:bottom w:val="single" w:sz="4" w:space="0" w:color="auto"/>
              <w:right w:val="single" w:sz="4" w:space="0" w:color="auto"/>
            </w:tcBorders>
            <w:shd w:val="clear" w:color="auto" w:fill="auto"/>
            <w:vAlign w:val="center"/>
            <w:hideMark/>
          </w:tcPr>
          <w:p w14:paraId="781ED1E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24.2</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3666914C" w14:textId="78903F34"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16.00</w:t>
            </w:r>
          </w:p>
        </w:tc>
        <w:tc>
          <w:tcPr>
            <w:tcW w:w="884" w:type="dxa"/>
            <w:tcBorders>
              <w:top w:val="nil"/>
              <w:left w:val="nil"/>
              <w:bottom w:val="single" w:sz="4" w:space="0" w:color="auto"/>
              <w:right w:val="single" w:sz="4" w:space="0" w:color="auto"/>
            </w:tcBorders>
            <w:shd w:val="clear" w:color="auto" w:fill="auto"/>
            <w:vAlign w:val="center"/>
            <w:hideMark/>
          </w:tcPr>
          <w:p w14:paraId="17E0D94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13.0</w:t>
            </w:r>
          </w:p>
        </w:tc>
        <w:tc>
          <w:tcPr>
            <w:tcW w:w="884" w:type="dxa"/>
            <w:tcBorders>
              <w:top w:val="nil"/>
              <w:left w:val="nil"/>
              <w:bottom w:val="single" w:sz="4" w:space="0" w:color="auto"/>
              <w:right w:val="single" w:sz="4" w:space="0" w:color="auto"/>
            </w:tcBorders>
            <w:shd w:val="clear" w:color="auto" w:fill="auto"/>
            <w:vAlign w:val="center"/>
            <w:hideMark/>
          </w:tcPr>
          <w:p w14:paraId="27FCCD1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15.4</w:t>
            </w:r>
          </w:p>
        </w:tc>
        <w:tc>
          <w:tcPr>
            <w:tcW w:w="884" w:type="dxa"/>
            <w:tcBorders>
              <w:top w:val="nil"/>
              <w:left w:val="nil"/>
              <w:bottom w:val="single" w:sz="4" w:space="0" w:color="auto"/>
              <w:right w:val="single" w:sz="4" w:space="0" w:color="auto"/>
            </w:tcBorders>
            <w:shd w:val="clear" w:color="auto" w:fill="auto"/>
            <w:vAlign w:val="center"/>
            <w:hideMark/>
          </w:tcPr>
          <w:p w14:paraId="2853CF3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17.8</w:t>
            </w:r>
          </w:p>
        </w:tc>
        <w:tc>
          <w:tcPr>
            <w:tcW w:w="884" w:type="dxa"/>
            <w:tcBorders>
              <w:top w:val="nil"/>
              <w:left w:val="nil"/>
              <w:bottom w:val="single" w:sz="4" w:space="0" w:color="auto"/>
              <w:right w:val="single" w:sz="4" w:space="0" w:color="auto"/>
            </w:tcBorders>
            <w:shd w:val="clear" w:color="auto" w:fill="auto"/>
            <w:vAlign w:val="center"/>
            <w:hideMark/>
          </w:tcPr>
          <w:p w14:paraId="3240E96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17.6</w:t>
            </w:r>
          </w:p>
        </w:tc>
        <w:tc>
          <w:tcPr>
            <w:tcW w:w="884" w:type="dxa"/>
            <w:tcBorders>
              <w:top w:val="nil"/>
              <w:left w:val="nil"/>
              <w:bottom w:val="single" w:sz="4" w:space="0" w:color="auto"/>
              <w:right w:val="single" w:sz="4" w:space="0" w:color="auto"/>
            </w:tcBorders>
            <w:shd w:val="clear" w:color="auto" w:fill="auto"/>
            <w:vAlign w:val="center"/>
            <w:hideMark/>
          </w:tcPr>
          <w:p w14:paraId="7F47541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23.3</w:t>
            </w:r>
          </w:p>
        </w:tc>
        <w:tc>
          <w:tcPr>
            <w:tcW w:w="884" w:type="dxa"/>
            <w:tcBorders>
              <w:top w:val="nil"/>
              <w:left w:val="nil"/>
              <w:bottom w:val="single" w:sz="4" w:space="0" w:color="auto"/>
              <w:right w:val="single" w:sz="4" w:space="0" w:color="auto"/>
            </w:tcBorders>
            <w:shd w:val="clear" w:color="auto" w:fill="auto"/>
            <w:vAlign w:val="center"/>
            <w:hideMark/>
          </w:tcPr>
          <w:p w14:paraId="6E719BE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33.9</w:t>
            </w:r>
          </w:p>
        </w:tc>
        <w:tc>
          <w:tcPr>
            <w:tcW w:w="884" w:type="dxa"/>
            <w:tcBorders>
              <w:top w:val="nil"/>
              <w:left w:val="nil"/>
              <w:bottom w:val="single" w:sz="4" w:space="0" w:color="auto"/>
              <w:right w:val="single" w:sz="4" w:space="0" w:color="auto"/>
            </w:tcBorders>
            <w:shd w:val="clear" w:color="auto" w:fill="auto"/>
            <w:vAlign w:val="center"/>
            <w:hideMark/>
          </w:tcPr>
          <w:p w14:paraId="17767A2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38.5</w:t>
            </w:r>
          </w:p>
        </w:tc>
        <w:tc>
          <w:tcPr>
            <w:tcW w:w="884" w:type="dxa"/>
            <w:tcBorders>
              <w:top w:val="nil"/>
              <w:left w:val="nil"/>
              <w:bottom w:val="single" w:sz="4" w:space="0" w:color="auto"/>
              <w:right w:val="single" w:sz="4" w:space="0" w:color="auto"/>
            </w:tcBorders>
            <w:shd w:val="clear" w:color="auto" w:fill="auto"/>
            <w:vAlign w:val="center"/>
            <w:hideMark/>
          </w:tcPr>
          <w:p w14:paraId="373A166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27.7</w:t>
            </w:r>
          </w:p>
        </w:tc>
        <w:tc>
          <w:tcPr>
            <w:tcW w:w="893" w:type="dxa"/>
            <w:tcBorders>
              <w:top w:val="nil"/>
              <w:left w:val="nil"/>
              <w:bottom w:val="single" w:sz="4" w:space="0" w:color="auto"/>
              <w:right w:val="single" w:sz="4" w:space="0" w:color="auto"/>
            </w:tcBorders>
            <w:shd w:val="clear" w:color="auto" w:fill="auto"/>
            <w:vAlign w:val="center"/>
            <w:hideMark/>
          </w:tcPr>
          <w:p w14:paraId="4A79F8C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23.5</w:t>
            </w:r>
          </w:p>
        </w:tc>
        <w:tc>
          <w:tcPr>
            <w:tcW w:w="1294" w:type="dxa"/>
            <w:tcBorders>
              <w:top w:val="nil"/>
              <w:left w:val="nil"/>
              <w:bottom w:val="single" w:sz="4" w:space="0" w:color="auto"/>
              <w:right w:val="single" w:sz="4" w:space="0" w:color="auto"/>
            </w:tcBorders>
            <w:shd w:val="clear" w:color="auto" w:fill="auto"/>
            <w:vAlign w:val="center"/>
            <w:hideMark/>
          </w:tcPr>
          <w:p w14:paraId="444AE80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5262C"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44FF91A1"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3E43363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DT41</w:t>
            </w:r>
          </w:p>
        </w:tc>
        <w:tc>
          <w:tcPr>
            <w:tcW w:w="1073" w:type="dxa"/>
            <w:tcBorders>
              <w:top w:val="nil"/>
              <w:left w:val="nil"/>
              <w:bottom w:val="single" w:sz="4" w:space="0" w:color="auto"/>
              <w:right w:val="single" w:sz="4" w:space="0" w:color="auto"/>
            </w:tcBorders>
            <w:shd w:val="clear" w:color="auto" w:fill="auto"/>
            <w:vAlign w:val="center"/>
            <w:hideMark/>
          </w:tcPr>
          <w:p w14:paraId="3384C21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431428</w:t>
            </w:r>
          </w:p>
        </w:tc>
        <w:tc>
          <w:tcPr>
            <w:tcW w:w="1183" w:type="dxa"/>
            <w:tcBorders>
              <w:top w:val="nil"/>
              <w:left w:val="nil"/>
              <w:bottom w:val="single" w:sz="4" w:space="0" w:color="auto"/>
              <w:right w:val="single" w:sz="4" w:space="0" w:color="auto"/>
            </w:tcBorders>
            <w:shd w:val="clear" w:color="auto" w:fill="auto"/>
            <w:vAlign w:val="center"/>
            <w:hideMark/>
          </w:tcPr>
          <w:p w14:paraId="0715BBF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564493</w:t>
            </w:r>
          </w:p>
        </w:tc>
        <w:tc>
          <w:tcPr>
            <w:tcW w:w="884" w:type="dxa"/>
            <w:tcBorders>
              <w:top w:val="nil"/>
              <w:left w:val="nil"/>
              <w:bottom w:val="single" w:sz="4" w:space="0" w:color="auto"/>
              <w:right w:val="single" w:sz="4" w:space="0" w:color="auto"/>
            </w:tcBorders>
            <w:shd w:val="clear" w:color="auto" w:fill="auto"/>
            <w:vAlign w:val="center"/>
            <w:hideMark/>
          </w:tcPr>
          <w:p w14:paraId="67D9295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28.3</w:t>
            </w:r>
          </w:p>
        </w:tc>
        <w:tc>
          <w:tcPr>
            <w:tcW w:w="884" w:type="dxa"/>
            <w:tcBorders>
              <w:top w:val="nil"/>
              <w:left w:val="nil"/>
              <w:bottom w:val="single" w:sz="4" w:space="0" w:color="auto"/>
              <w:right w:val="single" w:sz="4" w:space="0" w:color="auto"/>
            </w:tcBorders>
            <w:shd w:val="clear" w:color="auto" w:fill="auto"/>
            <w:vAlign w:val="center"/>
            <w:hideMark/>
          </w:tcPr>
          <w:p w14:paraId="11136E9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19.8</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249D257B" w14:textId="30C6BD91"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14.73</w:t>
            </w:r>
          </w:p>
        </w:tc>
        <w:tc>
          <w:tcPr>
            <w:tcW w:w="884" w:type="dxa"/>
            <w:tcBorders>
              <w:top w:val="nil"/>
              <w:left w:val="nil"/>
              <w:bottom w:val="single" w:sz="4" w:space="0" w:color="auto"/>
              <w:right w:val="single" w:sz="4" w:space="0" w:color="auto"/>
            </w:tcBorders>
            <w:shd w:val="clear" w:color="auto" w:fill="auto"/>
            <w:vAlign w:val="center"/>
            <w:hideMark/>
          </w:tcPr>
          <w:p w14:paraId="3BB392B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15.1</w:t>
            </w:r>
          </w:p>
        </w:tc>
        <w:tc>
          <w:tcPr>
            <w:tcW w:w="884" w:type="dxa"/>
            <w:tcBorders>
              <w:top w:val="nil"/>
              <w:left w:val="nil"/>
              <w:bottom w:val="single" w:sz="4" w:space="0" w:color="auto"/>
              <w:right w:val="single" w:sz="4" w:space="0" w:color="auto"/>
            </w:tcBorders>
            <w:shd w:val="clear" w:color="auto" w:fill="auto"/>
            <w:vAlign w:val="center"/>
            <w:hideMark/>
          </w:tcPr>
          <w:p w14:paraId="73101E5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17.1</w:t>
            </w:r>
          </w:p>
        </w:tc>
        <w:tc>
          <w:tcPr>
            <w:tcW w:w="884" w:type="dxa"/>
            <w:tcBorders>
              <w:top w:val="nil"/>
              <w:left w:val="nil"/>
              <w:bottom w:val="single" w:sz="4" w:space="0" w:color="auto"/>
              <w:right w:val="single" w:sz="4" w:space="0" w:color="auto"/>
            </w:tcBorders>
            <w:shd w:val="clear" w:color="auto" w:fill="auto"/>
            <w:vAlign w:val="center"/>
            <w:hideMark/>
          </w:tcPr>
          <w:p w14:paraId="4C68E1B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18.1</w:t>
            </w:r>
          </w:p>
        </w:tc>
        <w:tc>
          <w:tcPr>
            <w:tcW w:w="884" w:type="dxa"/>
            <w:tcBorders>
              <w:top w:val="nil"/>
              <w:left w:val="nil"/>
              <w:bottom w:val="single" w:sz="4" w:space="0" w:color="auto"/>
              <w:right w:val="single" w:sz="4" w:space="0" w:color="auto"/>
            </w:tcBorders>
            <w:shd w:val="clear" w:color="auto" w:fill="auto"/>
            <w:vAlign w:val="center"/>
            <w:hideMark/>
          </w:tcPr>
          <w:p w14:paraId="6EA8424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20.0</w:t>
            </w:r>
          </w:p>
        </w:tc>
        <w:tc>
          <w:tcPr>
            <w:tcW w:w="884" w:type="dxa"/>
            <w:tcBorders>
              <w:top w:val="nil"/>
              <w:left w:val="nil"/>
              <w:bottom w:val="single" w:sz="4" w:space="0" w:color="auto"/>
              <w:right w:val="single" w:sz="4" w:space="0" w:color="auto"/>
            </w:tcBorders>
            <w:shd w:val="clear" w:color="auto" w:fill="auto"/>
            <w:vAlign w:val="center"/>
            <w:hideMark/>
          </w:tcPr>
          <w:p w14:paraId="4802C5D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27.3</w:t>
            </w:r>
          </w:p>
        </w:tc>
        <w:tc>
          <w:tcPr>
            <w:tcW w:w="884" w:type="dxa"/>
            <w:tcBorders>
              <w:top w:val="nil"/>
              <w:left w:val="nil"/>
              <w:bottom w:val="single" w:sz="4" w:space="0" w:color="auto"/>
              <w:right w:val="single" w:sz="4" w:space="0" w:color="auto"/>
            </w:tcBorders>
            <w:shd w:val="clear" w:color="auto" w:fill="auto"/>
            <w:vAlign w:val="center"/>
            <w:hideMark/>
          </w:tcPr>
          <w:p w14:paraId="2D6C269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25.9</w:t>
            </w:r>
          </w:p>
        </w:tc>
        <w:tc>
          <w:tcPr>
            <w:tcW w:w="884" w:type="dxa"/>
            <w:tcBorders>
              <w:top w:val="nil"/>
              <w:left w:val="nil"/>
              <w:bottom w:val="single" w:sz="4" w:space="0" w:color="auto"/>
              <w:right w:val="single" w:sz="4" w:space="0" w:color="auto"/>
            </w:tcBorders>
            <w:shd w:val="clear" w:color="auto" w:fill="auto"/>
            <w:vAlign w:val="center"/>
            <w:hideMark/>
          </w:tcPr>
          <w:p w14:paraId="2910464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28.1</w:t>
            </w:r>
          </w:p>
        </w:tc>
        <w:tc>
          <w:tcPr>
            <w:tcW w:w="884" w:type="dxa"/>
            <w:tcBorders>
              <w:top w:val="nil"/>
              <w:left w:val="nil"/>
              <w:bottom w:val="single" w:sz="4" w:space="0" w:color="auto"/>
              <w:right w:val="single" w:sz="4" w:space="0" w:color="auto"/>
            </w:tcBorders>
            <w:shd w:val="clear" w:color="auto" w:fill="auto"/>
            <w:vAlign w:val="center"/>
            <w:hideMark/>
          </w:tcPr>
          <w:p w14:paraId="7064846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28.2</w:t>
            </w:r>
          </w:p>
        </w:tc>
        <w:tc>
          <w:tcPr>
            <w:tcW w:w="893" w:type="dxa"/>
            <w:tcBorders>
              <w:top w:val="nil"/>
              <w:left w:val="nil"/>
              <w:bottom w:val="single" w:sz="4" w:space="0" w:color="auto"/>
              <w:right w:val="single" w:sz="4" w:space="0" w:color="auto"/>
            </w:tcBorders>
            <w:shd w:val="clear" w:color="auto" w:fill="auto"/>
            <w:vAlign w:val="center"/>
            <w:hideMark/>
          </w:tcPr>
          <w:p w14:paraId="5B3769B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22.6</w:t>
            </w:r>
          </w:p>
        </w:tc>
        <w:tc>
          <w:tcPr>
            <w:tcW w:w="1294" w:type="dxa"/>
            <w:tcBorders>
              <w:top w:val="nil"/>
              <w:left w:val="nil"/>
              <w:bottom w:val="single" w:sz="4" w:space="0" w:color="auto"/>
              <w:right w:val="single" w:sz="4" w:space="0" w:color="auto"/>
            </w:tcBorders>
            <w:shd w:val="clear" w:color="auto" w:fill="auto"/>
            <w:vAlign w:val="center"/>
            <w:hideMark/>
          </w:tcPr>
          <w:p w14:paraId="77E02BBB"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AAE5A"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4C8105C5"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1B82ACB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DT42</w:t>
            </w:r>
          </w:p>
        </w:tc>
        <w:tc>
          <w:tcPr>
            <w:tcW w:w="1073" w:type="dxa"/>
            <w:tcBorders>
              <w:top w:val="nil"/>
              <w:left w:val="nil"/>
              <w:bottom w:val="single" w:sz="4" w:space="0" w:color="auto"/>
              <w:right w:val="single" w:sz="4" w:space="0" w:color="auto"/>
            </w:tcBorders>
            <w:shd w:val="clear" w:color="auto" w:fill="auto"/>
            <w:vAlign w:val="center"/>
            <w:hideMark/>
          </w:tcPr>
          <w:p w14:paraId="7F2909D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436396</w:t>
            </w:r>
          </w:p>
        </w:tc>
        <w:tc>
          <w:tcPr>
            <w:tcW w:w="1183" w:type="dxa"/>
            <w:tcBorders>
              <w:top w:val="nil"/>
              <w:left w:val="nil"/>
              <w:bottom w:val="single" w:sz="4" w:space="0" w:color="auto"/>
              <w:right w:val="single" w:sz="4" w:space="0" w:color="auto"/>
            </w:tcBorders>
            <w:shd w:val="clear" w:color="auto" w:fill="auto"/>
            <w:vAlign w:val="center"/>
            <w:hideMark/>
          </w:tcPr>
          <w:p w14:paraId="646CB9F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565012</w:t>
            </w:r>
          </w:p>
        </w:tc>
        <w:tc>
          <w:tcPr>
            <w:tcW w:w="884" w:type="dxa"/>
            <w:tcBorders>
              <w:top w:val="nil"/>
              <w:left w:val="nil"/>
              <w:bottom w:val="single" w:sz="4" w:space="0" w:color="auto"/>
              <w:right w:val="single" w:sz="4" w:space="0" w:color="auto"/>
            </w:tcBorders>
            <w:shd w:val="clear" w:color="auto" w:fill="auto"/>
            <w:vAlign w:val="center"/>
            <w:hideMark/>
          </w:tcPr>
          <w:p w14:paraId="3A26AEE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38.0</w:t>
            </w:r>
          </w:p>
        </w:tc>
        <w:tc>
          <w:tcPr>
            <w:tcW w:w="884" w:type="dxa"/>
            <w:tcBorders>
              <w:top w:val="nil"/>
              <w:left w:val="nil"/>
              <w:bottom w:val="single" w:sz="4" w:space="0" w:color="auto"/>
              <w:right w:val="single" w:sz="4" w:space="0" w:color="auto"/>
            </w:tcBorders>
            <w:shd w:val="clear" w:color="auto" w:fill="auto"/>
            <w:vAlign w:val="center"/>
            <w:hideMark/>
          </w:tcPr>
          <w:p w14:paraId="791128B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24.0</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034FFADA" w14:textId="208C6A84"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21.66</w:t>
            </w:r>
          </w:p>
        </w:tc>
        <w:tc>
          <w:tcPr>
            <w:tcW w:w="884" w:type="dxa"/>
            <w:tcBorders>
              <w:top w:val="nil"/>
              <w:left w:val="nil"/>
              <w:bottom w:val="single" w:sz="4" w:space="0" w:color="auto"/>
              <w:right w:val="single" w:sz="4" w:space="0" w:color="auto"/>
            </w:tcBorders>
            <w:shd w:val="clear" w:color="auto" w:fill="auto"/>
            <w:vAlign w:val="center"/>
            <w:hideMark/>
          </w:tcPr>
          <w:p w14:paraId="2E572D0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19.7</w:t>
            </w:r>
          </w:p>
        </w:tc>
        <w:tc>
          <w:tcPr>
            <w:tcW w:w="884" w:type="dxa"/>
            <w:tcBorders>
              <w:top w:val="nil"/>
              <w:left w:val="nil"/>
              <w:bottom w:val="single" w:sz="4" w:space="0" w:color="auto"/>
              <w:right w:val="single" w:sz="4" w:space="0" w:color="auto"/>
            </w:tcBorders>
            <w:shd w:val="clear" w:color="auto" w:fill="auto"/>
            <w:vAlign w:val="center"/>
            <w:hideMark/>
          </w:tcPr>
          <w:p w14:paraId="61662E7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21.8</w:t>
            </w:r>
          </w:p>
        </w:tc>
        <w:tc>
          <w:tcPr>
            <w:tcW w:w="884" w:type="dxa"/>
            <w:tcBorders>
              <w:top w:val="nil"/>
              <w:left w:val="nil"/>
              <w:bottom w:val="single" w:sz="4" w:space="0" w:color="auto"/>
              <w:right w:val="single" w:sz="4" w:space="0" w:color="auto"/>
            </w:tcBorders>
            <w:shd w:val="clear" w:color="auto" w:fill="auto"/>
            <w:vAlign w:val="center"/>
            <w:hideMark/>
          </w:tcPr>
          <w:p w14:paraId="2812924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18.8</w:t>
            </w:r>
          </w:p>
        </w:tc>
        <w:tc>
          <w:tcPr>
            <w:tcW w:w="884" w:type="dxa"/>
            <w:tcBorders>
              <w:top w:val="nil"/>
              <w:left w:val="nil"/>
              <w:bottom w:val="single" w:sz="4" w:space="0" w:color="auto"/>
              <w:right w:val="single" w:sz="4" w:space="0" w:color="auto"/>
            </w:tcBorders>
            <w:shd w:val="clear" w:color="auto" w:fill="auto"/>
            <w:vAlign w:val="center"/>
            <w:hideMark/>
          </w:tcPr>
          <w:p w14:paraId="6B82AD5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24.8</w:t>
            </w:r>
          </w:p>
        </w:tc>
        <w:tc>
          <w:tcPr>
            <w:tcW w:w="884" w:type="dxa"/>
            <w:tcBorders>
              <w:top w:val="nil"/>
              <w:left w:val="nil"/>
              <w:bottom w:val="single" w:sz="4" w:space="0" w:color="auto"/>
              <w:right w:val="single" w:sz="4" w:space="0" w:color="auto"/>
            </w:tcBorders>
            <w:shd w:val="clear" w:color="auto" w:fill="auto"/>
            <w:vAlign w:val="center"/>
            <w:hideMark/>
          </w:tcPr>
          <w:p w14:paraId="0F40027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30.4</w:t>
            </w:r>
          </w:p>
        </w:tc>
        <w:tc>
          <w:tcPr>
            <w:tcW w:w="884" w:type="dxa"/>
            <w:tcBorders>
              <w:top w:val="nil"/>
              <w:left w:val="nil"/>
              <w:bottom w:val="single" w:sz="4" w:space="0" w:color="auto"/>
              <w:right w:val="single" w:sz="4" w:space="0" w:color="auto"/>
            </w:tcBorders>
            <w:shd w:val="clear" w:color="auto" w:fill="auto"/>
            <w:vAlign w:val="center"/>
            <w:hideMark/>
          </w:tcPr>
          <w:p w14:paraId="25ABB426"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31.5</w:t>
            </w:r>
          </w:p>
        </w:tc>
        <w:tc>
          <w:tcPr>
            <w:tcW w:w="884" w:type="dxa"/>
            <w:tcBorders>
              <w:top w:val="nil"/>
              <w:left w:val="nil"/>
              <w:bottom w:val="single" w:sz="4" w:space="0" w:color="auto"/>
              <w:right w:val="single" w:sz="4" w:space="0" w:color="auto"/>
            </w:tcBorders>
            <w:shd w:val="clear" w:color="auto" w:fill="auto"/>
            <w:vAlign w:val="center"/>
            <w:hideMark/>
          </w:tcPr>
          <w:p w14:paraId="472AE7A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33.5</w:t>
            </w:r>
          </w:p>
        </w:tc>
        <w:tc>
          <w:tcPr>
            <w:tcW w:w="884" w:type="dxa"/>
            <w:tcBorders>
              <w:top w:val="nil"/>
              <w:left w:val="nil"/>
              <w:bottom w:val="single" w:sz="4" w:space="0" w:color="auto"/>
              <w:right w:val="single" w:sz="4" w:space="0" w:color="auto"/>
            </w:tcBorders>
            <w:shd w:val="clear" w:color="auto" w:fill="auto"/>
            <w:vAlign w:val="center"/>
            <w:hideMark/>
          </w:tcPr>
          <w:p w14:paraId="5404CC7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34.3</w:t>
            </w:r>
          </w:p>
        </w:tc>
        <w:tc>
          <w:tcPr>
            <w:tcW w:w="893" w:type="dxa"/>
            <w:tcBorders>
              <w:top w:val="nil"/>
              <w:left w:val="nil"/>
              <w:bottom w:val="single" w:sz="4" w:space="0" w:color="auto"/>
              <w:right w:val="single" w:sz="4" w:space="0" w:color="auto"/>
            </w:tcBorders>
            <w:shd w:val="clear" w:color="auto" w:fill="auto"/>
            <w:vAlign w:val="center"/>
            <w:hideMark/>
          </w:tcPr>
          <w:p w14:paraId="5724441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27.5</w:t>
            </w:r>
          </w:p>
        </w:tc>
        <w:tc>
          <w:tcPr>
            <w:tcW w:w="1294" w:type="dxa"/>
            <w:tcBorders>
              <w:top w:val="nil"/>
              <w:left w:val="nil"/>
              <w:bottom w:val="single" w:sz="4" w:space="0" w:color="auto"/>
              <w:right w:val="single" w:sz="4" w:space="0" w:color="auto"/>
            </w:tcBorders>
            <w:shd w:val="clear" w:color="auto" w:fill="auto"/>
            <w:vAlign w:val="center"/>
            <w:hideMark/>
          </w:tcPr>
          <w:p w14:paraId="25564C2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352EB"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1F2EFF53"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0CC72EE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DT43</w:t>
            </w:r>
          </w:p>
        </w:tc>
        <w:tc>
          <w:tcPr>
            <w:tcW w:w="1073" w:type="dxa"/>
            <w:tcBorders>
              <w:top w:val="nil"/>
              <w:left w:val="nil"/>
              <w:bottom w:val="single" w:sz="4" w:space="0" w:color="auto"/>
              <w:right w:val="single" w:sz="4" w:space="0" w:color="auto"/>
            </w:tcBorders>
            <w:shd w:val="clear" w:color="auto" w:fill="auto"/>
            <w:vAlign w:val="center"/>
            <w:hideMark/>
          </w:tcPr>
          <w:p w14:paraId="505F5A0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437161</w:t>
            </w:r>
          </w:p>
        </w:tc>
        <w:tc>
          <w:tcPr>
            <w:tcW w:w="1183" w:type="dxa"/>
            <w:tcBorders>
              <w:top w:val="nil"/>
              <w:left w:val="nil"/>
              <w:bottom w:val="single" w:sz="4" w:space="0" w:color="auto"/>
              <w:right w:val="single" w:sz="4" w:space="0" w:color="auto"/>
            </w:tcBorders>
            <w:shd w:val="clear" w:color="auto" w:fill="auto"/>
            <w:vAlign w:val="center"/>
            <w:hideMark/>
          </w:tcPr>
          <w:p w14:paraId="750E10B7"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565572</w:t>
            </w:r>
          </w:p>
        </w:tc>
        <w:tc>
          <w:tcPr>
            <w:tcW w:w="884" w:type="dxa"/>
            <w:tcBorders>
              <w:top w:val="nil"/>
              <w:left w:val="nil"/>
              <w:bottom w:val="single" w:sz="4" w:space="0" w:color="auto"/>
              <w:right w:val="single" w:sz="4" w:space="0" w:color="auto"/>
            </w:tcBorders>
            <w:shd w:val="clear" w:color="auto" w:fill="auto"/>
            <w:vAlign w:val="center"/>
            <w:hideMark/>
          </w:tcPr>
          <w:p w14:paraId="37A4299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31.2</w:t>
            </w:r>
          </w:p>
        </w:tc>
        <w:tc>
          <w:tcPr>
            <w:tcW w:w="884" w:type="dxa"/>
            <w:tcBorders>
              <w:top w:val="nil"/>
              <w:left w:val="nil"/>
              <w:bottom w:val="single" w:sz="4" w:space="0" w:color="auto"/>
              <w:right w:val="single" w:sz="4" w:space="0" w:color="auto"/>
            </w:tcBorders>
            <w:shd w:val="clear" w:color="auto" w:fill="auto"/>
            <w:vAlign w:val="center"/>
            <w:hideMark/>
          </w:tcPr>
          <w:p w14:paraId="2FDBD83A"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26.1</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2B043F50" w14:textId="19C972D0"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17.07</w:t>
            </w:r>
          </w:p>
        </w:tc>
        <w:tc>
          <w:tcPr>
            <w:tcW w:w="884" w:type="dxa"/>
            <w:tcBorders>
              <w:top w:val="nil"/>
              <w:left w:val="nil"/>
              <w:bottom w:val="single" w:sz="4" w:space="0" w:color="auto"/>
              <w:right w:val="single" w:sz="4" w:space="0" w:color="auto"/>
            </w:tcBorders>
            <w:shd w:val="clear" w:color="auto" w:fill="auto"/>
            <w:vAlign w:val="center"/>
            <w:hideMark/>
          </w:tcPr>
          <w:p w14:paraId="5CFDBB7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17.7</w:t>
            </w:r>
          </w:p>
        </w:tc>
        <w:tc>
          <w:tcPr>
            <w:tcW w:w="884" w:type="dxa"/>
            <w:tcBorders>
              <w:top w:val="nil"/>
              <w:left w:val="nil"/>
              <w:bottom w:val="single" w:sz="4" w:space="0" w:color="auto"/>
              <w:right w:val="single" w:sz="4" w:space="0" w:color="auto"/>
            </w:tcBorders>
            <w:shd w:val="clear" w:color="auto" w:fill="auto"/>
            <w:vAlign w:val="center"/>
            <w:hideMark/>
          </w:tcPr>
          <w:p w14:paraId="0D0E01E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17.3</w:t>
            </w:r>
          </w:p>
        </w:tc>
        <w:tc>
          <w:tcPr>
            <w:tcW w:w="884" w:type="dxa"/>
            <w:tcBorders>
              <w:top w:val="nil"/>
              <w:left w:val="nil"/>
              <w:bottom w:val="single" w:sz="4" w:space="0" w:color="auto"/>
              <w:right w:val="single" w:sz="4" w:space="0" w:color="auto"/>
            </w:tcBorders>
            <w:shd w:val="clear" w:color="auto" w:fill="auto"/>
            <w:vAlign w:val="center"/>
            <w:hideMark/>
          </w:tcPr>
          <w:p w14:paraId="6D6ABDF2"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20.0</w:t>
            </w:r>
          </w:p>
        </w:tc>
        <w:tc>
          <w:tcPr>
            <w:tcW w:w="884" w:type="dxa"/>
            <w:tcBorders>
              <w:top w:val="nil"/>
              <w:left w:val="nil"/>
              <w:bottom w:val="single" w:sz="4" w:space="0" w:color="auto"/>
              <w:right w:val="single" w:sz="4" w:space="0" w:color="auto"/>
            </w:tcBorders>
            <w:shd w:val="clear" w:color="auto" w:fill="auto"/>
            <w:vAlign w:val="center"/>
            <w:hideMark/>
          </w:tcPr>
          <w:p w14:paraId="3305E95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22.3</w:t>
            </w:r>
          </w:p>
        </w:tc>
        <w:tc>
          <w:tcPr>
            <w:tcW w:w="884" w:type="dxa"/>
            <w:tcBorders>
              <w:top w:val="nil"/>
              <w:left w:val="nil"/>
              <w:bottom w:val="single" w:sz="4" w:space="0" w:color="auto"/>
              <w:right w:val="single" w:sz="4" w:space="0" w:color="auto"/>
            </w:tcBorders>
            <w:shd w:val="clear" w:color="auto" w:fill="auto"/>
            <w:vAlign w:val="center"/>
            <w:hideMark/>
          </w:tcPr>
          <w:p w14:paraId="04D6B01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26.1</w:t>
            </w:r>
          </w:p>
        </w:tc>
        <w:tc>
          <w:tcPr>
            <w:tcW w:w="884" w:type="dxa"/>
            <w:tcBorders>
              <w:top w:val="nil"/>
              <w:left w:val="nil"/>
              <w:bottom w:val="single" w:sz="4" w:space="0" w:color="auto"/>
              <w:right w:val="single" w:sz="4" w:space="0" w:color="auto"/>
            </w:tcBorders>
            <w:shd w:val="clear" w:color="auto" w:fill="auto"/>
            <w:vAlign w:val="center"/>
            <w:hideMark/>
          </w:tcPr>
          <w:p w14:paraId="3B2F10C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26.7</w:t>
            </w:r>
          </w:p>
        </w:tc>
        <w:tc>
          <w:tcPr>
            <w:tcW w:w="884" w:type="dxa"/>
            <w:tcBorders>
              <w:top w:val="nil"/>
              <w:left w:val="nil"/>
              <w:bottom w:val="single" w:sz="4" w:space="0" w:color="auto"/>
              <w:right w:val="single" w:sz="4" w:space="0" w:color="auto"/>
            </w:tcBorders>
            <w:shd w:val="clear" w:color="auto" w:fill="auto"/>
            <w:vAlign w:val="center"/>
            <w:hideMark/>
          </w:tcPr>
          <w:p w14:paraId="17A30CF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30.5</w:t>
            </w:r>
          </w:p>
        </w:tc>
        <w:tc>
          <w:tcPr>
            <w:tcW w:w="884" w:type="dxa"/>
            <w:tcBorders>
              <w:top w:val="nil"/>
              <w:left w:val="nil"/>
              <w:bottom w:val="single" w:sz="4" w:space="0" w:color="auto"/>
              <w:right w:val="single" w:sz="4" w:space="0" w:color="auto"/>
            </w:tcBorders>
            <w:shd w:val="clear" w:color="auto" w:fill="auto"/>
            <w:vAlign w:val="center"/>
            <w:hideMark/>
          </w:tcPr>
          <w:p w14:paraId="653435F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27.8</w:t>
            </w:r>
          </w:p>
        </w:tc>
        <w:tc>
          <w:tcPr>
            <w:tcW w:w="893" w:type="dxa"/>
            <w:tcBorders>
              <w:top w:val="nil"/>
              <w:left w:val="nil"/>
              <w:bottom w:val="single" w:sz="4" w:space="0" w:color="auto"/>
              <w:right w:val="single" w:sz="4" w:space="0" w:color="auto"/>
            </w:tcBorders>
            <w:shd w:val="clear" w:color="auto" w:fill="auto"/>
            <w:vAlign w:val="center"/>
            <w:hideMark/>
          </w:tcPr>
          <w:p w14:paraId="1F0647D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24.4</w:t>
            </w:r>
          </w:p>
        </w:tc>
        <w:tc>
          <w:tcPr>
            <w:tcW w:w="1294" w:type="dxa"/>
            <w:tcBorders>
              <w:top w:val="nil"/>
              <w:left w:val="nil"/>
              <w:bottom w:val="single" w:sz="4" w:space="0" w:color="auto"/>
              <w:right w:val="single" w:sz="4" w:space="0" w:color="auto"/>
            </w:tcBorders>
            <w:shd w:val="clear" w:color="auto" w:fill="auto"/>
            <w:vAlign w:val="center"/>
            <w:hideMark/>
          </w:tcPr>
          <w:p w14:paraId="4EFE4B5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DDCDF"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r w:rsidR="00FF3EE6" w:rsidRPr="001D57F0" w14:paraId="37919DA3" w14:textId="77777777" w:rsidTr="00FF3EE6">
        <w:trPr>
          <w:trHeight w:val="290"/>
        </w:trPr>
        <w:tc>
          <w:tcPr>
            <w:tcW w:w="1084" w:type="dxa"/>
            <w:tcBorders>
              <w:top w:val="nil"/>
              <w:left w:val="single" w:sz="4" w:space="0" w:color="auto"/>
              <w:bottom w:val="single" w:sz="4" w:space="0" w:color="auto"/>
              <w:right w:val="single" w:sz="4" w:space="0" w:color="auto"/>
            </w:tcBorders>
            <w:shd w:val="clear" w:color="auto" w:fill="00AF41" w:themeFill="accent1"/>
            <w:vAlign w:val="center"/>
            <w:hideMark/>
          </w:tcPr>
          <w:p w14:paraId="6905E259"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DT44</w:t>
            </w:r>
          </w:p>
        </w:tc>
        <w:tc>
          <w:tcPr>
            <w:tcW w:w="1073" w:type="dxa"/>
            <w:tcBorders>
              <w:top w:val="nil"/>
              <w:left w:val="nil"/>
              <w:bottom w:val="single" w:sz="4" w:space="0" w:color="auto"/>
              <w:right w:val="single" w:sz="4" w:space="0" w:color="auto"/>
            </w:tcBorders>
            <w:shd w:val="clear" w:color="auto" w:fill="auto"/>
            <w:vAlign w:val="center"/>
            <w:hideMark/>
          </w:tcPr>
          <w:p w14:paraId="21C97050"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436923</w:t>
            </w:r>
          </w:p>
        </w:tc>
        <w:tc>
          <w:tcPr>
            <w:tcW w:w="1183" w:type="dxa"/>
            <w:tcBorders>
              <w:top w:val="nil"/>
              <w:left w:val="nil"/>
              <w:bottom w:val="single" w:sz="4" w:space="0" w:color="auto"/>
              <w:right w:val="single" w:sz="4" w:space="0" w:color="auto"/>
            </w:tcBorders>
            <w:shd w:val="clear" w:color="auto" w:fill="auto"/>
            <w:vAlign w:val="center"/>
            <w:hideMark/>
          </w:tcPr>
          <w:p w14:paraId="47E669D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565967</w:t>
            </w:r>
          </w:p>
        </w:tc>
        <w:tc>
          <w:tcPr>
            <w:tcW w:w="884" w:type="dxa"/>
            <w:tcBorders>
              <w:top w:val="nil"/>
              <w:left w:val="nil"/>
              <w:bottom w:val="single" w:sz="4" w:space="0" w:color="auto"/>
              <w:right w:val="single" w:sz="4" w:space="0" w:color="auto"/>
            </w:tcBorders>
            <w:shd w:val="clear" w:color="auto" w:fill="auto"/>
            <w:vAlign w:val="center"/>
            <w:hideMark/>
          </w:tcPr>
          <w:p w14:paraId="6D76CFC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33.4</w:t>
            </w:r>
          </w:p>
        </w:tc>
        <w:tc>
          <w:tcPr>
            <w:tcW w:w="884" w:type="dxa"/>
            <w:tcBorders>
              <w:top w:val="nil"/>
              <w:left w:val="nil"/>
              <w:bottom w:val="single" w:sz="4" w:space="0" w:color="auto"/>
              <w:right w:val="single" w:sz="4" w:space="0" w:color="auto"/>
            </w:tcBorders>
            <w:shd w:val="clear" w:color="auto" w:fill="auto"/>
            <w:vAlign w:val="center"/>
            <w:hideMark/>
          </w:tcPr>
          <w:p w14:paraId="020D85AC"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23.2</w:t>
            </w:r>
          </w:p>
        </w:tc>
        <w:tc>
          <w:tcPr>
            <w:tcW w:w="1752" w:type="dxa"/>
            <w:gridSpan w:val="2"/>
            <w:tcBorders>
              <w:top w:val="single" w:sz="4" w:space="0" w:color="auto"/>
              <w:left w:val="nil"/>
              <w:bottom w:val="single" w:sz="4" w:space="0" w:color="auto"/>
              <w:right w:val="single" w:sz="4" w:space="0" w:color="auto"/>
            </w:tcBorders>
            <w:shd w:val="clear" w:color="auto" w:fill="auto"/>
            <w:vAlign w:val="bottom"/>
          </w:tcPr>
          <w:p w14:paraId="006BD6FF" w14:textId="04C2E6EB" w:rsidR="00FF3EE6" w:rsidRPr="00FF3EE6" w:rsidRDefault="00FF3EE6" w:rsidP="00FF3EE6">
            <w:pPr>
              <w:spacing w:before="0" w:after="0" w:line="240" w:lineRule="auto"/>
              <w:jc w:val="center"/>
              <w:rPr>
                <w:rFonts w:eastAsia="Times New Roman" w:cs="Arial"/>
                <w:b/>
                <w:bCs/>
                <w:color w:val="FF0000"/>
                <w:sz w:val="20"/>
                <w:szCs w:val="20"/>
                <w:lang w:eastAsia="en-GB"/>
              </w:rPr>
            </w:pPr>
            <w:r w:rsidRPr="00FF3EE6">
              <w:rPr>
                <w:rFonts w:cs="Arial"/>
                <w:b/>
                <w:bCs/>
                <w:color w:val="FF0000"/>
                <w:sz w:val="20"/>
                <w:szCs w:val="20"/>
              </w:rPr>
              <w:t>16.85</w:t>
            </w:r>
          </w:p>
        </w:tc>
        <w:tc>
          <w:tcPr>
            <w:tcW w:w="884" w:type="dxa"/>
            <w:tcBorders>
              <w:top w:val="nil"/>
              <w:left w:val="nil"/>
              <w:bottom w:val="single" w:sz="4" w:space="0" w:color="auto"/>
              <w:right w:val="single" w:sz="4" w:space="0" w:color="auto"/>
            </w:tcBorders>
            <w:shd w:val="clear" w:color="auto" w:fill="auto"/>
            <w:vAlign w:val="center"/>
            <w:hideMark/>
          </w:tcPr>
          <w:p w14:paraId="4423960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14.1</w:t>
            </w:r>
          </w:p>
        </w:tc>
        <w:tc>
          <w:tcPr>
            <w:tcW w:w="884" w:type="dxa"/>
            <w:tcBorders>
              <w:top w:val="nil"/>
              <w:left w:val="nil"/>
              <w:bottom w:val="single" w:sz="4" w:space="0" w:color="auto"/>
              <w:right w:val="single" w:sz="4" w:space="0" w:color="auto"/>
            </w:tcBorders>
            <w:shd w:val="clear" w:color="auto" w:fill="auto"/>
            <w:vAlign w:val="center"/>
            <w:hideMark/>
          </w:tcPr>
          <w:p w14:paraId="2440716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14.7</w:t>
            </w:r>
          </w:p>
        </w:tc>
        <w:tc>
          <w:tcPr>
            <w:tcW w:w="884" w:type="dxa"/>
            <w:tcBorders>
              <w:top w:val="nil"/>
              <w:left w:val="nil"/>
              <w:bottom w:val="single" w:sz="4" w:space="0" w:color="auto"/>
              <w:right w:val="single" w:sz="4" w:space="0" w:color="auto"/>
            </w:tcBorders>
            <w:shd w:val="clear" w:color="auto" w:fill="auto"/>
            <w:vAlign w:val="center"/>
            <w:hideMark/>
          </w:tcPr>
          <w:p w14:paraId="574A5075"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17.1</w:t>
            </w:r>
          </w:p>
        </w:tc>
        <w:tc>
          <w:tcPr>
            <w:tcW w:w="884" w:type="dxa"/>
            <w:tcBorders>
              <w:top w:val="nil"/>
              <w:left w:val="nil"/>
              <w:bottom w:val="single" w:sz="4" w:space="0" w:color="auto"/>
              <w:right w:val="single" w:sz="4" w:space="0" w:color="auto"/>
            </w:tcBorders>
            <w:shd w:val="clear" w:color="auto" w:fill="auto"/>
            <w:vAlign w:val="center"/>
            <w:hideMark/>
          </w:tcPr>
          <w:p w14:paraId="58FD7783"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16.2</w:t>
            </w:r>
          </w:p>
        </w:tc>
        <w:tc>
          <w:tcPr>
            <w:tcW w:w="884" w:type="dxa"/>
            <w:tcBorders>
              <w:top w:val="nil"/>
              <w:left w:val="nil"/>
              <w:bottom w:val="single" w:sz="4" w:space="0" w:color="auto"/>
              <w:right w:val="single" w:sz="4" w:space="0" w:color="auto"/>
            </w:tcBorders>
            <w:shd w:val="clear" w:color="auto" w:fill="auto"/>
            <w:vAlign w:val="center"/>
            <w:hideMark/>
          </w:tcPr>
          <w:p w14:paraId="0EDEC2B8"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23.1</w:t>
            </w:r>
          </w:p>
        </w:tc>
        <w:tc>
          <w:tcPr>
            <w:tcW w:w="884" w:type="dxa"/>
            <w:tcBorders>
              <w:top w:val="nil"/>
              <w:left w:val="nil"/>
              <w:bottom w:val="single" w:sz="4" w:space="0" w:color="auto"/>
              <w:right w:val="single" w:sz="4" w:space="0" w:color="auto"/>
            </w:tcBorders>
            <w:shd w:val="clear" w:color="auto" w:fill="auto"/>
            <w:vAlign w:val="center"/>
            <w:hideMark/>
          </w:tcPr>
          <w:p w14:paraId="12E0D66D"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24.2</w:t>
            </w:r>
          </w:p>
        </w:tc>
        <w:tc>
          <w:tcPr>
            <w:tcW w:w="884" w:type="dxa"/>
            <w:tcBorders>
              <w:top w:val="nil"/>
              <w:left w:val="nil"/>
              <w:bottom w:val="single" w:sz="4" w:space="0" w:color="auto"/>
              <w:right w:val="single" w:sz="4" w:space="0" w:color="auto"/>
            </w:tcBorders>
            <w:shd w:val="clear" w:color="auto" w:fill="auto"/>
            <w:vAlign w:val="center"/>
            <w:hideMark/>
          </w:tcPr>
          <w:p w14:paraId="568ED54F"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34.3</w:t>
            </w:r>
          </w:p>
        </w:tc>
        <w:tc>
          <w:tcPr>
            <w:tcW w:w="884" w:type="dxa"/>
            <w:tcBorders>
              <w:top w:val="nil"/>
              <w:left w:val="nil"/>
              <w:bottom w:val="single" w:sz="4" w:space="0" w:color="auto"/>
              <w:right w:val="single" w:sz="4" w:space="0" w:color="auto"/>
            </w:tcBorders>
            <w:shd w:val="clear" w:color="auto" w:fill="auto"/>
            <w:vAlign w:val="center"/>
            <w:hideMark/>
          </w:tcPr>
          <w:p w14:paraId="409A1D01"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34.7</w:t>
            </w:r>
          </w:p>
        </w:tc>
        <w:tc>
          <w:tcPr>
            <w:tcW w:w="893" w:type="dxa"/>
            <w:tcBorders>
              <w:top w:val="nil"/>
              <w:left w:val="nil"/>
              <w:bottom w:val="single" w:sz="4" w:space="0" w:color="auto"/>
              <w:right w:val="single" w:sz="4" w:space="0" w:color="auto"/>
            </w:tcBorders>
            <w:shd w:val="clear" w:color="auto" w:fill="auto"/>
            <w:vAlign w:val="center"/>
            <w:hideMark/>
          </w:tcPr>
          <w:p w14:paraId="73577904"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23.3</w:t>
            </w:r>
          </w:p>
        </w:tc>
        <w:tc>
          <w:tcPr>
            <w:tcW w:w="1294" w:type="dxa"/>
            <w:tcBorders>
              <w:top w:val="nil"/>
              <w:left w:val="nil"/>
              <w:bottom w:val="single" w:sz="4" w:space="0" w:color="auto"/>
              <w:right w:val="single" w:sz="4" w:space="0" w:color="auto"/>
            </w:tcBorders>
            <w:shd w:val="clear" w:color="auto" w:fill="auto"/>
            <w:vAlign w:val="center"/>
            <w:hideMark/>
          </w:tcPr>
          <w:p w14:paraId="7DCA7D7E" w14:textId="77777777" w:rsidR="00FF3EE6" w:rsidRPr="001D57F0" w:rsidRDefault="00FF3EE6" w:rsidP="00FF3EE6">
            <w:pPr>
              <w:spacing w:before="0" w:after="0" w:line="240" w:lineRule="auto"/>
              <w:jc w:val="center"/>
              <w:rPr>
                <w:rFonts w:eastAsia="Times New Roman" w:cs="Arial"/>
                <w:sz w:val="20"/>
                <w:szCs w:val="20"/>
                <w:lang w:eastAsia="en-GB"/>
              </w:rPr>
            </w:pPr>
            <w:r w:rsidRPr="001D57F0">
              <w:rPr>
                <w:rFonts w:eastAsia="Times New Roman" w:cs="Arial"/>
                <w:sz w:val="20"/>
                <w:szCs w:val="20"/>
                <w:lang w:eastAsia="en-GB"/>
              </w:rPr>
              <w:t>19.7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D5278" w14:textId="77777777" w:rsidR="00FF3EE6" w:rsidRPr="001D57F0" w:rsidRDefault="00FF3EE6" w:rsidP="00FF3EE6">
            <w:pPr>
              <w:spacing w:before="0" w:after="0" w:line="240" w:lineRule="auto"/>
              <w:jc w:val="center"/>
              <w:rPr>
                <w:rFonts w:eastAsia="Times New Roman" w:cs="Arial"/>
                <w:b/>
                <w:bCs/>
                <w:sz w:val="20"/>
                <w:szCs w:val="20"/>
                <w:u w:val="single"/>
                <w:lang w:eastAsia="en-GB"/>
              </w:rPr>
            </w:pPr>
            <w:r w:rsidRPr="001D57F0">
              <w:rPr>
                <w:rFonts w:eastAsia="Times New Roman" w:cs="Arial"/>
                <w:b/>
                <w:bCs/>
                <w:sz w:val="20"/>
                <w:szCs w:val="20"/>
                <w:u w:val="single"/>
                <w:lang w:eastAsia="en-GB"/>
              </w:rPr>
              <w:t> </w:t>
            </w:r>
          </w:p>
        </w:tc>
      </w:tr>
    </w:tbl>
    <w:p w14:paraId="42B30B8A" w14:textId="16AF222C" w:rsidR="000C1797" w:rsidRDefault="00B6413C" w:rsidP="002A068B">
      <w:pPr>
        <w:spacing w:line="240" w:lineRule="auto"/>
        <w:rPr>
          <w:b/>
          <w:szCs w:val="20"/>
        </w:rPr>
      </w:pPr>
      <w:sdt>
        <w:sdtPr>
          <w:rPr>
            <w:color w:val="2B579A"/>
            <w:szCs w:val="20"/>
            <w:shd w:val="clear" w:color="auto" w:fill="E6E6E6"/>
          </w:rPr>
          <w:id w:val="72944003"/>
          <w14:checkbox>
            <w14:checked w14:val="1"/>
            <w14:checkedState w14:val="2612" w14:font="MS Gothic"/>
            <w14:uncheckedState w14:val="2610" w14:font="MS Gothic"/>
          </w14:checkbox>
        </w:sdtPr>
        <w:sdtEndPr/>
        <w:sdtContent>
          <w:r w:rsidR="0002740F">
            <w:rPr>
              <w:rFonts w:ascii="MS Gothic" w:eastAsia="MS Gothic" w:hAnsi="MS Gothic" w:hint="eastAsia"/>
              <w:color w:val="2B579A"/>
              <w:szCs w:val="20"/>
              <w:shd w:val="clear" w:color="auto" w:fill="E6E6E6"/>
            </w:rPr>
            <w:t>☒</w:t>
          </w:r>
        </w:sdtContent>
      </w:sdt>
      <w:r w:rsidR="0097313B" w:rsidRPr="00130A54">
        <w:rPr>
          <w:szCs w:val="20"/>
        </w:rPr>
        <w:t xml:space="preserve"> </w:t>
      </w:r>
      <w:r w:rsidR="000C1797" w:rsidRPr="0046419E">
        <w:rPr>
          <w:b/>
          <w:bCs/>
          <w:szCs w:val="20"/>
        </w:rPr>
        <w:t>All erroneous data has been remove</w:t>
      </w:r>
      <w:r w:rsidR="0046419E" w:rsidRPr="0046419E">
        <w:rPr>
          <w:b/>
          <w:bCs/>
          <w:szCs w:val="20"/>
        </w:rPr>
        <w:t>d</w:t>
      </w:r>
      <w:r w:rsidR="00CE0AB0">
        <w:rPr>
          <w:b/>
          <w:bCs/>
          <w:szCs w:val="20"/>
        </w:rPr>
        <w:t xml:space="preserve"> from</w:t>
      </w:r>
      <w:r w:rsidR="0046419E" w:rsidRPr="0046419E">
        <w:rPr>
          <w:b/>
          <w:bCs/>
          <w:szCs w:val="20"/>
        </w:rPr>
        <w:t xml:space="preserve"> the NO</w:t>
      </w:r>
      <w:r w:rsidR="0046419E" w:rsidRPr="0046419E">
        <w:rPr>
          <w:b/>
          <w:bCs/>
          <w:szCs w:val="20"/>
          <w:vertAlign w:val="subscript"/>
        </w:rPr>
        <w:t>2</w:t>
      </w:r>
      <w:r w:rsidR="0046419E" w:rsidRPr="0046419E">
        <w:rPr>
          <w:b/>
          <w:bCs/>
          <w:szCs w:val="20"/>
        </w:rPr>
        <w:t xml:space="preserve"> diffusion tube dataset presented in Table B.1</w:t>
      </w:r>
      <w:r w:rsidR="0046419E">
        <w:rPr>
          <w:szCs w:val="20"/>
        </w:rPr>
        <w:t xml:space="preserve"> </w:t>
      </w:r>
    </w:p>
    <w:p w14:paraId="77744E8B" w14:textId="31F5E5FE" w:rsidR="00B967EC" w:rsidRPr="00130A54" w:rsidRDefault="00B6413C" w:rsidP="00B967EC">
      <w:pPr>
        <w:spacing w:line="240" w:lineRule="auto"/>
        <w:rPr>
          <w:szCs w:val="20"/>
        </w:rPr>
      </w:pPr>
      <w:sdt>
        <w:sdtPr>
          <w:rPr>
            <w:szCs w:val="20"/>
          </w:rPr>
          <w:id w:val="144243038"/>
          <w14:checkbox>
            <w14:checked w14:val="1"/>
            <w14:checkedState w14:val="2612" w14:font="MS Gothic"/>
            <w14:uncheckedState w14:val="2610" w14:font="MS Gothic"/>
          </w14:checkbox>
        </w:sdtPr>
        <w:sdtEndPr/>
        <w:sdtContent>
          <w:r w:rsidR="0002740F">
            <w:rPr>
              <w:rFonts w:ascii="MS Gothic" w:eastAsia="MS Gothic" w:hAnsi="MS Gothic" w:hint="eastAsia"/>
              <w:szCs w:val="20"/>
            </w:rPr>
            <w:t>☒</w:t>
          </w:r>
        </w:sdtContent>
      </w:sdt>
      <w:r w:rsidR="00B967EC" w:rsidRPr="00130A54">
        <w:rPr>
          <w:szCs w:val="20"/>
        </w:rPr>
        <w:t xml:space="preserve"> </w:t>
      </w:r>
      <w:r w:rsidR="00B967EC" w:rsidRPr="00090C17">
        <w:rPr>
          <w:b/>
          <w:szCs w:val="20"/>
        </w:rPr>
        <w:t>Annualisation has been conducted where data capture is &lt;75%</w:t>
      </w:r>
      <w:r w:rsidR="00B967EC">
        <w:rPr>
          <w:b/>
          <w:szCs w:val="20"/>
        </w:rPr>
        <w:t xml:space="preserve"> and &gt;33% in line with LAQM.TG16</w:t>
      </w:r>
    </w:p>
    <w:p w14:paraId="67E704A1" w14:textId="533E4378" w:rsidR="0097313B" w:rsidRPr="00130A54" w:rsidRDefault="00B6413C" w:rsidP="002A068B">
      <w:pPr>
        <w:spacing w:line="240" w:lineRule="auto"/>
        <w:rPr>
          <w:szCs w:val="20"/>
        </w:rPr>
      </w:pPr>
      <w:sdt>
        <w:sdtPr>
          <w:rPr>
            <w:color w:val="2B579A"/>
            <w:szCs w:val="20"/>
            <w:shd w:val="clear" w:color="auto" w:fill="E6E6E6"/>
          </w:rPr>
          <w:id w:val="1445962369"/>
          <w14:checkbox>
            <w14:checked w14:val="1"/>
            <w14:checkedState w14:val="2612" w14:font="MS Gothic"/>
            <w14:uncheckedState w14:val="2610" w14:font="MS Gothic"/>
          </w14:checkbox>
        </w:sdtPr>
        <w:sdtEndPr/>
        <w:sdtContent>
          <w:r w:rsidR="0002740F">
            <w:rPr>
              <w:rFonts w:ascii="MS Gothic" w:eastAsia="MS Gothic" w:hAnsi="MS Gothic" w:hint="eastAsia"/>
              <w:color w:val="2B579A"/>
              <w:szCs w:val="20"/>
              <w:shd w:val="clear" w:color="auto" w:fill="E6E6E6"/>
            </w:rPr>
            <w:t>☒</w:t>
          </w:r>
        </w:sdtContent>
      </w:sdt>
      <w:r w:rsidR="000C1797" w:rsidRPr="00130A54">
        <w:rPr>
          <w:szCs w:val="20"/>
        </w:rPr>
        <w:t xml:space="preserve"> </w:t>
      </w:r>
      <w:r w:rsidR="0097313B" w:rsidRPr="00130A54">
        <w:rPr>
          <w:b/>
          <w:szCs w:val="20"/>
        </w:rPr>
        <w:t>Local bias adjustment factor used</w:t>
      </w:r>
      <w:r w:rsidR="002B5D54">
        <w:rPr>
          <w:b/>
          <w:szCs w:val="20"/>
        </w:rPr>
        <w:t>.</w:t>
      </w:r>
    </w:p>
    <w:p w14:paraId="24A99584" w14:textId="0E77D1E1" w:rsidR="0097313B" w:rsidRPr="00130A54" w:rsidRDefault="00B6413C" w:rsidP="002A068B">
      <w:pPr>
        <w:spacing w:line="240" w:lineRule="auto"/>
        <w:rPr>
          <w:szCs w:val="20"/>
        </w:rPr>
      </w:pPr>
      <w:sdt>
        <w:sdtPr>
          <w:rPr>
            <w:color w:val="2B579A"/>
            <w:szCs w:val="20"/>
            <w:shd w:val="clear" w:color="auto" w:fill="E6E6E6"/>
          </w:rPr>
          <w:id w:val="1100761818"/>
          <w14:checkbox>
            <w14:checked w14:val="1"/>
            <w14:checkedState w14:val="2612" w14:font="MS Gothic"/>
            <w14:uncheckedState w14:val="2610" w14:font="MS Gothic"/>
          </w14:checkbox>
        </w:sdtPr>
        <w:sdtEndPr/>
        <w:sdtContent>
          <w:r w:rsidR="0002740F">
            <w:rPr>
              <w:rFonts w:ascii="MS Gothic" w:eastAsia="MS Gothic" w:hAnsi="MS Gothic" w:hint="eastAsia"/>
              <w:color w:val="2B579A"/>
              <w:szCs w:val="20"/>
              <w:shd w:val="clear" w:color="auto" w:fill="E6E6E6"/>
            </w:rPr>
            <w:t>☒</w:t>
          </w:r>
        </w:sdtContent>
      </w:sdt>
      <w:r w:rsidR="0097313B" w:rsidRPr="00130A54">
        <w:rPr>
          <w:szCs w:val="20"/>
        </w:rPr>
        <w:t xml:space="preserve"> </w:t>
      </w:r>
      <w:r w:rsidR="0097313B" w:rsidRPr="00130A54">
        <w:rPr>
          <w:b/>
          <w:szCs w:val="20"/>
        </w:rPr>
        <w:t>National bias adjustment factor used</w:t>
      </w:r>
      <w:r w:rsidR="002B5D54">
        <w:rPr>
          <w:b/>
          <w:szCs w:val="20"/>
        </w:rPr>
        <w:t>.</w:t>
      </w:r>
    </w:p>
    <w:p w14:paraId="73D685A4" w14:textId="49B598F0" w:rsidR="0097313B" w:rsidRDefault="00B6413C" w:rsidP="002A068B">
      <w:pPr>
        <w:spacing w:line="240" w:lineRule="auto"/>
        <w:rPr>
          <w:b/>
          <w:szCs w:val="20"/>
        </w:rPr>
      </w:pPr>
      <w:sdt>
        <w:sdtPr>
          <w:rPr>
            <w:color w:val="2B579A"/>
            <w:szCs w:val="20"/>
            <w:shd w:val="clear" w:color="auto" w:fill="E6E6E6"/>
          </w:rPr>
          <w:id w:val="1123340632"/>
          <w14:checkbox>
            <w14:checked w14:val="1"/>
            <w14:checkedState w14:val="2612" w14:font="MS Gothic"/>
            <w14:uncheckedState w14:val="2610" w14:font="MS Gothic"/>
          </w14:checkbox>
        </w:sdtPr>
        <w:sdtEndPr/>
        <w:sdtContent>
          <w:r w:rsidR="0002740F">
            <w:rPr>
              <w:rFonts w:ascii="MS Gothic" w:eastAsia="MS Gothic" w:hAnsi="MS Gothic" w:hint="eastAsia"/>
              <w:color w:val="2B579A"/>
              <w:szCs w:val="20"/>
              <w:shd w:val="clear" w:color="auto" w:fill="E6E6E6"/>
            </w:rPr>
            <w:t>☒</w:t>
          </w:r>
        </w:sdtContent>
      </w:sdt>
      <w:r w:rsidR="0097313B" w:rsidRPr="00130A54">
        <w:rPr>
          <w:szCs w:val="20"/>
        </w:rPr>
        <w:t xml:space="preserve"> </w:t>
      </w:r>
      <w:r w:rsidR="0097313B" w:rsidRPr="00130A54">
        <w:rPr>
          <w:b/>
          <w:szCs w:val="20"/>
        </w:rPr>
        <w:t>Where applicable, data has been distance corrected for relevant exposure in the final colum</w:t>
      </w:r>
      <w:r w:rsidR="002B5D54">
        <w:rPr>
          <w:b/>
          <w:szCs w:val="20"/>
        </w:rPr>
        <w:t>n.</w:t>
      </w:r>
    </w:p>
    <w:p w14:paraId="24DEA567" w14:textId="4BCC1C46" w:rsidR="00BC38DB" w:rsidRDefault="00B6413C" w:rsidP="00BC38DB">
      <w:pPr>
        <w:spacing w:line="240" w:lineRule="auto"/>
        <w:rPr>
          <w:b/>
          <w:szCs w:val="24"/>
        </w:rPr>
      </w:pPr>
      <w:sdt>
        <w:sdtPr>
          <w:rPr>
            <w:color w:val="2B579A"/>
            <w:szCs w:val="24"/>
            <w:shd w:val="clear" w:color="auto" w:fill="E6E6E6"/>
          </w:rPr>
          <w:id w:val="237992158"/>
          <w14:checkbox>
            <w14:checked w14:val="0"/>
            <w14:checkedState w14:val="2612" w14:font="MS Gothic"/>
            <w14:uncheckedState w14:val="2610" w14:font="MS Gothic"/>
          </w14:checkbox>
        </w:sdtPr>
        <w:sdtEndPr/>
        <w:sdtContent>
          <w:r w:rsidR="00BC38DB">
            <w:rPr>
              <w:rFonts w:ascii="MS Gothic" w:eastAsia="MS Gothic" w:hAnsi="MS Gothic" w:hint="eastAsia"/>
              <w:szCs w:val="24"/>
            </w:rPr>
            <w:t>☐</w:t>
          </w:r>
        </w:sdtContent>
      </w:sdt>
      <w:r w:rsidR="00BC38DB" w:rsidRPr="00090C17">
        <w:rPr>
          <w:szCs w:val="24"/>
        </w:rPr>
        <w:t xml:space="preserve"> </w:t>
      </w:r>
      <w:r w:rsidR="0002740F" w:rsidRPr="0002740F">
        <w:rPr>
          <w:rFonts w:cs="Arial"/>
          <w:b/>
        </w:rPr>
        <w:t>South Tyneside Council</w:t>
      </w:r>
      <w:r w:rsidR="00BC38DB" w:rsidRPr="0002740F">
        <w:rPr>
          <w:rFonts w:cs="Arial"/>
          <w:b/>
        </w:rPr>
        <w:t xml:space="preserve"> </w:t>
      </w:r>
      <w:r w:rsidR="00BC38DB" w:rsidRPr="00090C17">
        <w:rPr>
          <w:b/>
          <w:szCs w:val="24"/>
        </w:rPr>
        <w:t xml:space="preserve">confirm </w:t>
      </w:r>
      <w:r w:rsidR="00BC38DB">
        <w:rPr>
          <w:b/>
          <w:szCs w:val="24"/>
        </w:rPr>
        <w:t xml:space="preserve">that all 2020 diffusion tube data has been uploaded to the </w:t>
      </w:r>
      <w:r w:rsidR="00BC38DB" w:rsidRPr="00BC38DB">
        <w:rPr>
          <w:b/>
          <w:szCs w:val="24"/>
        </w:rPr>
        <w:t>Diffusion Tube Data Entry System</w:t>
      </w:r>
      <w:r w:rsidR="0002740F">
        <w:t>.</w:t>
      </w:r>
    </w:p>
    <w:p w14:paraId="07D1DD4B" w14:textId="77777777" w:rsidR="0097313B" w:rsidRPr="00130A54" w:rsidRDefault="0097313B" w:rsidP="002A068B">
      <w:pPr>
        <w:spacing w:line="240" w:lineRule="auto"/>
        <w:rPr>
          <w:b/>
        </w:rPr>
      </w:pPr>
      <w:r w:rsidRPr="00130A54">
        <w:rPr>
          <w:b/>
        </w:rPr>
        <w:t xml:space="preserve">Notes: </w:t>
      </w:r>
    </w:p>
    <w:p w14:paraId="19232B57" w14:textId="77777777" w:rsidR="0097313B" w:rsidRPr="00130A54" w:rsidRDefault="0097313B" w:rsidP="002A068B">
      <w:pPr>
        <w:spacing w:line="240" w:lineRule="auto"/>
      </w:pPr>
      <w:r w:rsidRPr="00130A54">
        <w:t>Exceedances of the NO</w:t>
      </w:r>
      <w:r w:rsidRPr="00130A54">
        <w:rPr>
          <w:vertAlign w:val="subscript"/>
        </w:rPr>
        <w:t>2</w:t>
      </w:r>
      <w:r w:rsidRPr="00130A54">
        <w:t xml:space="preserve"> annual mean objective of 40µg/m</w:t>
      </w:r>
      <w:r w:rsidRPr="00130A54">
        <w:rPr>
          <w:vertAlign w:val="superscript"/>
        </w:rPr>
        <w:t>3</w:t>
      </w:r>
      <w:r w:rsidRPr="00130A54">
        <w:t xml:space="preserve"> are shown in </w:t>
      </w:r>
      <w:r w:rsidRPr="00130A54">
        <w:rPr>
          <w:b/>
        </w:rPr>
        <w:t>bold</w:t>
      </w:r>
      <w:r w:rsidRPr="00130A54">
        <w:t>.</w:t>
      </w:r>
    </w:p>
    <w:p w14:paraId="754258B5" w14:textId="77777777" w:rsidR="0097313B" w:rsidRPr="00130A54" w:rsidRDefault="0097313B" w:rsidP="002A068B">
      <w:pPr>
        <w:spacing w:line="240" w:lineRule="auto"/>
      </w:pPr>
      <w:r w:rsidRPr="00130A54">
        <w:t>NO</w:t>
      </w:r>
      <w:r w:rsidRPr="00130A54">
        <w:rPr>
          <w:vertAlign w:val="subscript"/>
        </w:rPr>
        <w:t>2</w:t>
      </w:r>
      <w:r w:rsidRPr="00130A54">
        <w:t xml:space="preserve"> annual means exceeding 60µg/m</w:t>
      </w:r>
      <w:r w:rsidRPr="00130A54">
        <w:rPr>
          <w:vertAlign w:val="superscript"/>
        </w:rPr>
        <w:t>3</w:t>
      </w:r>
      <w:r w:rsidRPr="00130A54">
        <w:t>, indicating a potential exceedance of the NO</w:t>
      </w:r>
      <w:r w:rsidRPr="00130A54">
        <w:rPr>
          <w:vertAlign w:val="subscript"/>
        </w:rPr>
        <w:t>2</w:t>
      </w:r>
      <w:r w:rsidRPr="00130A54">
        <w:t xml:space="preserve"> 1-hour mean objective are shown in </w:t>
      </w:r>
      <w:r w:rsidRPr="00130A54">
        <w:rPr>
          <w:b/>
          <w:u w:val="single"/>
        </w:rPr>
        <w:t>bold and underlined</w:t>
      </w:r>
      <w:r w:rsidRPr="00130A54">
        <w:t>.</w:t>
      </w:r>
    </w:p>
    <w:p w14:paraId="0D520920" w14:textId="7A8CA812" w:rsidR="0097313B" w:rsidRDefault="0097313B" w:rsidP="002A068B">
      <w:pPr>
        <w:spacing w:line="240" w:lineRule="auto"/>
      </w:pPr>
      <w:r w:rsidRPr="00130A54">
        <w:t xml:space="preserve">See </w:t>
      </w:r>
      <w:hyperlink w:anchor="_Appendix_C:_Supporting" w:history="1">
        <w:r w:rsidRPr="00803D59">
          <w:t>Appendix C</w:t>
        </w:r>
      </w:hyperlink>
      <w:r w:rsidRPr="00130A54">
        <w:t xml:space="preserve"> for details on bias adjustment and annualisation.</w:t>
      </w:r>
    </w:p>
    <w:p w14:paraId="455136C2" w14:textId="77777777" w:rsidR="008142E3" w:rsidRPr="008142E3" w:rsidRDefault="008142E3" w:rsidP="00400B0F"/>
    <w:p w14:paraId="57AE7D21" w14:textId="77777777" w:rsidR="008142E3" w:rsidRPr="008142E3" w:rsidRDefault="008142E3" w:rsidP="00400B0F">
      <w:pPr>
        <w:sectPr w:rsidR="008142E3" w:rsidRPr="008142E3" w:rsidSect="00EF5451">
          <w:pgSz w:w="23811" w:h="16838" w:orient="landscape" w:code="8"/>
          <w:pgMar w:top="1134" w:right="1134" w:bottom="1134" w:left="1134" w:header="340" w:footer="340" w:gutter="0"/>
          <w:cols w:space="708"/>
          <w:docGrid w:linePitch="326"/>
        </w:sectPr>
      </w:pPr>
    </w:p>
    <w:p w14:paraId="5C032DDC" w14:textId="2416A381" w:rsidR="0097313B" w:rsidRDefault="0097313B" w:rsidP="00400B0F">
      <w:pPr>
        <w:pStyle w:val="Heading1"/>
        <w:numPr>
          <w:ilvl w:val="0"/>
          <w:numId w:val="0"/>
        </w:numPr>
      </w:pPr>
      <w:bookmarkStart w:id="107" w:name="_Appendix_C:_Supporting"/>
      <w:bookmarkStart w:id="108" w:name="_Ref55286290"/>
      <w:bookmarkStart w:id="109" w:name="_Toc75438389"/>
      <w:bookmarkEnd w:id="107"/>
      <w:r>
        <w:t>Appendix C: Supporting Technical Information / Air Quality Monitoring Data QA/QC</w:t>
      </w:r>
      <w:bookmarkEnd w:id="108"/>
      <w:bookmarkEnd w:id="109"/>
    </w:p>
    <w:p w14:paraId="138B6029" w14:textId="37C9F61E" w:rsidR="0065675D" w:rsidRDefault="0065675D" w:rsidP="0062374A">
      <w:pPr>
        <w:pStyle w:val="Heading2"/>
        <w:rPr>
          <w:color w:val="FF0000"/>
        </w:rPr>
      </w:pPr>
      <w:bookmarkStart w:id="110" w:name="_Toc75438390"/>
      <w:r>
        <w:t>New</w:t>
      </w:r>
      <w:r w:rsidR="009C7A4F">
        <w:t xml:space="preserve"> or Changed</w:t>
      </w:r>
      <w:r>
        <w:t xml:space="preserve"> Sources Identified Within</w:t>
      </w:r>
      <w:r w:rsidR="00965FEF" w:rsidRPr="00965FEF">
        <w:t xml:space="preserve"> </w:t>
      </w:r>
      <w:r w:rsidR="00965FEF">
        <w:t>South Tyneside Council During 2020.</w:t>
      </w:r>
      <w:bookmarkEnd w:id="110"/>
    </w:p>
    <w:p w14:paraId="0FCA0A2D" w14:textId="77777777" w:rsidR="00647906" w:rsidRDefault="00647906" w:rsidP="00647906">
      <w:pPr>
        <w:jc w:val="both"/>
      </w:pPr>
      <w:r>
        <w:t xml:space="preserve">The International Advanced Manufacturing Park (IAMP) is one the most important development sites in the North of England, with the North East seen as an exemplar in this industry. Both Sunderland and South Tyneside Councils have allocated 150 hectares of development land to the north of Nissan UK and adjacent to the A19 trunk road. The IAMP was designated a ‘Nationally Significant Infrastructure Project’ (NSIP) by the UK Government, with a Development Consent Order expected from 2019. </w:t>
      </w:r>
    </w:p>
    <w:p w14:paraId="54F50C84" w14:textId="77777777" w:rsidR="00647906" w:rsidRDefault="00647906" w:rsidP="00647906">
      <w:pPr>
        <w:jc w:val="both"/>
      </w:pPr>
      <w:r>
        <w:t xml:space="preserve">In order to facilitate the first phase of development, both Councils adopted the International Advanced Manufacturing Park Area Action Plan on 30 November 2017. A planning application for IAMP ONE was approved by Sunderland City Council in May 2018 and the construction commenced during 2018, with the first site occupied in 2019. </w:t>
      </w:r>
    </w:p>
    <w:p w14:paraId="57EE13EF" w14:textId="77777777" w:rsidR="00647906" w:rsidRPr="005C023A" w:rsidRDefault="00647906" w:rsidP="00647906">
      <w:pPr>
        <w:jc w:val="both"/>
        <w:rPr>
          <w:rFonts w:asciiTheme="minorHAnsi" w:hAnsiTheme="minorHAnsi" w:cstheme="minorHAnsi"/>
          <w:szCs w:val="24"/>
        </w:rPr>
      </w:pPr>
      <w:r>
        <w:t>The second phase of the IAMP scheme ‘IAMP two’ is currently going through the planning process and a development consent order application will be submitted in 2021, with a view to bringing forward the further development. An Environmental Impact Assessment scoping report has been appraised by both South Tyneside Council and Sunderland Council.</w:t>
      </w:r>
    </w:p>
    <w:p w14:paraId="3421A6F6" w14:textId="5E780359" w:rsidR="0062374A" w:rsidRDefault="00F541E5" w:rsidP="0062374A">
      <w:pPr>
        <w:pStyle w:val="Heading2"/>
      </w:pPr>
      <w:bookmarkStart w:id="111" w:name="_Toc75438391"/>
      <w:r>
        <w:t xml:space="preserve">Additional </w:t>
      </w:r>
      <w:r w:rsidR="009C7A4F">
        <w:t xml:space="preserve">Air Quality </w:t>
      </w:r>
      <w:r w:rsidR="00954029">
        <w:t>Works</w:t>
      </w:r>
      <w:r w:rsidR="007948F0">
        <w:t xml:space="preserve"> </w:t>
      </w:r>
      <w:r w:rsidR="009C7A4F">
        <w:t>Undertaken by</w:t>
      </w:r>
      <w:r w:rsidR="0062374A">
        <w:t xml:space="preserve"> South Tyneside Council</w:t>
      </w:r>
      <w:r w:rsidR="007948F0">
        <w:t xml:space="preserve"> During</w:t>
      </w:r>
      <w:r w:rsidR="0062374A">
        <w:t xml:space="preserve"> 2020.</w:t>
      </w:r>
      <w:bookmarkEnd w:id="111"/>
    </w:p>
    <w:p w14:paraId="72F6A272" w14:textId="5E2A29EA" w:rsidR="00435FC1" w:rsidRDefault="00435FC1" w:rsidP="00435FC1">
      <w:r>
        <w:t>South Tyneside Council</w:t>
      </w:r>
      <w:r w:rsidRPr="00FD4F8B">
        <w:rPr>
          <w:color w:val="FF0000"/>
        </w:rPr>
        <w:t xml:space="preserve"> </w:t>
      </w:r>
      <w:r>
        <w:t xml:space="preserve">has not completed any additional works within the reporting year of 2020 </w:t>
      </w:r>
      <w:r w:rsidR="006E6E4A">
        <w:t>relating to the development of action plan measures or the declaration, amendment or revocation of an AQMA.</w:t>
      </w:r>
    </w:p>
    <w:p w14:paraId="77B5E76A" w14:textId="244DE4B7" w:rsidR="008A224D" w:rsidRDefault="007948F0" w:rsidP="006E6E4A">
      <w:pPr>
        <w:pStyle w:val="Heading2"/>
      </w:pPr>
      <w:bookmarkStart w:id="112" w:name="_Toc75438392"/>
      <w:r>
        <w:t>QA/QC of Diffusion Tube Monitoring</w:t>
      </w:r>
      <w:bookmarkEnd w:id="112"/>
    </w:p>
    <w:p w14:paraId="60A96FA0" w14:textId="7946E7F1" w:rsidR="008A224D" w:rsidRDefault="008A224D" w:rsidP="008A224D">
      <w:r>
        <w:t>Diffusion tubes are supplied and analysed by Gradko International Ltd, Winchester, Hampshire. The preparation method used is 20% TEA and acetone.</w:t>
      </w:r>
    </w:p>
    <w:p w14:paraId="2D7D88C8" w14:textId="77777777" w:rsidR="00875516" w:rsidRDefault="00875516" w:rsidP="00875516">
      <w:r>
        <w:t>Gradko has full U.K.A.S. accreditation for compliance with ISO-IEC 17025 for laboratory management system. The accuracy and consistency of analytical methods is regularly monitored using external proficiency schemes such as</w:t>
      </w:r>
    </w:p>
    <w:p w14:paraId="2D120284" w14:textId="77777777" w:rsidR="00875516" w:rsidRDefault="00875516" w:rsidP="00646558">
      <w:pPr>
        <w:numPr>
          <w:ilvl w:val="0"/>
          <w:numId w:val="27"/>
        </w:numPr>
        <w:spacing w:before="0" w:after="0"/>
      </w:pPr>
      <w:r>
        <w:t xml:space="preserve">Workplace analysis scheme for proficiency (W.A.S.P.) </w:t>
      </w:r>
    </w:p>
    <w:p w14:paraId="01353573" w14:textId="2985D1EC" w:rsidR="00FB45DF" w:rsidRDefault="00875516" w:rsidP="00646558">
      <w:pPr>
        <w:numPr>
          <w:ilvl w:val="0"/>
          <w:numId w:val="27"/>
        </w:numPr>
        <w:spacing w:before="0" w:after="0"/>
      </w:pPr>
      <w:r>
        <w:t xml:space="preserve">Laboratory Environmental Analysis Proficiency (L.E.A.P.) </w:t>
      </w:r>
    </w:p>
    <w:p w14:paraId="72EF31FA" w14:textId="70FC108C" w:rsidR="00B65164" w:rsidRDefault="00B65164" w:rsidP="00B65164">
      <w:r>
        <w:t>Gradko follow the procedures set out by the DEFRA Harmonisation Practical Guidance.</w:t>
      </w:r>
    </w:p>
    <w:p w14:paraId="09FACE75" w14:textId="77777777" w:rsidR="00140435" w:rsidRDefault="00B65164" w:rsidP="008A224D">
      <w:r>
        <w:t>Gradko participate in the AIR PT scheme for NO2 diffusion tube analysis and annual Inter-Comparison Exercise. Results are available on request. Regarding the 2020 AIR-PT results, the laboratory carried out internal blind testing in September 2020 as Air PT samples could not be provided due to Covid-19. This cannot be considered the same as proficiency testing, but is included to provide reassurance of laboratory performance during this period.</w:t>
      </w:r>
    </w:p>
    <w:p w14:paraId="1C1FEE60" w14:textId="6A1385A4" w:rsidR="00C32DB0" w:rsidRDefault="00C32DB0" w:rsidP="008A224D">
      <w:r>
        <w:t xml:space="preserve">As a result of the </w:t>
      </w:r>
      <w:r w:rsidR="004A33E7">
        <w:t>Covid-19 pandemic, diffusion tubes were not collected</w:t>
      </w:r>
      <w:r w:rsidR="00AE12CD">
        <w:t xml:space="preserve"> in adherence with the Diffusion tube calendar in March and April. </w:t>
      </w:r>
      <w:r w:rsidR="00FE16F1">
        <w:t>Discussions were held with the DEFRA helpdesk regarding the validity of these tubes</w:t>
      </w:r>
      <w:r w:rsidR="00A441F3">
        <w:t>. The helpdesk advised thus:</w:t>
      </w:r>
    </w:p>
    <w:p w14:paraId="38CF8936" w14:textId="7224FDDA" w:rsidR="00A441F3" w:rsidRPr="00E02417" w:rsidRDefault="00A441F3" w:rsidP="00A441F3">
      <w:pPr>
        <w:rPr>
          <w:rFonts w:cs="Arial"/>
          <w:i/>
          <w:iCs/>
          <w:sz w:val="20"/>
          <w:szCs w:val="20"/>
        </w:rPr>
      </w:pPr>
      <w:r w:rsidRPr="00E02417">
        <w:rPr>
          <w:rFonts w:cs="Arial"/>
          <w:i/>
          <w:iCs/>
          <w:sz w:val="20"/>
          <w:szCs w:val="20"/>
        </w:rPr>
        <w:t>“Under ‘normal’ conditions and years, it would be more preferable to remove this data as it is unknown how extended exposure periods may impact the analysed concentrations, however we appreciate that due to the unprecedented nature of 2020 that data may be quire sparse for the entire year. Therefore, it is advisable to compare this data against your other monthly data to identify whether the concentrations for this 8 week period look relevant in relation to changing traffic flows in the area. It may also be more preferable to include this data if there are many months’ worth of data missing throughout 2020 so that as much data is presented as possible”</w:t>
      </w:r>
    </w:p>
    <w:p w14:paraId="7F8FD31A" w14:textId="101FA63D" w:rsidR="007122BC" w:rsidRDefault="00A441F3" w:rsidP="008A224D">
      <w:pPr>
        <w:rPr>
          <w:b/>
          <w:bCs/>
        </w:rPr>
      </w:pPr>
      <w:r w:rsidRPr="00BE5408">
        <w:rPr>
          <w:b/>
          <w:bCs/>
        </w:rPr>
        <w:t xml:space="preserve">As only one </w:t>
      </w:r>
      <w:r w:rsidR="00AE59BE" w:rsidRPr="00BE5408">
        <w:rPr>
          <w:b/>
          <w:bCs/>
        </w:rPr>
        <w:t>month’s</w:t>
      </w:r>
      <w:r w:rsidRPr="00BE5408">
        <w:rPr>
          <w:b/>
          <w:bCs/>
        </w:rPr>
        <w:t xml:space="preserve"> data is miss</w:t>
      </w:r>
      <w:r w:rsidR="00BE5408" w:rsidRPr="00BE5408">
        <w:rPr>
          <w:b/>
          <w:bCs/>
        </w:rPr>
        <w:t>ing, the decision has been taken to remove this data from the calculation for the annual mean</w:t>
      </w:r>
      <w:r w:rsidR="00AE59BE">
        <w:rPr>
          <w:b/>
          <w:bCs/>
        </w:rPr>
        <w:t xml:space="preserve"> to ensure accurate and transparent data</w:t>
      </w:r>
      <w:r w:rsidR="00BE5408" w:rsidRPr="00BE5408">
        <w:rPr>
          <w:b/>
          <w:bCs/>
        </w:rPr>
        <w:t xml:space="preserve">. </w:t>
      </w:r>
    </w:p>
    <w:p w14:paraId="740F3859" w14:textId="6A923D49" w:rsidR="007122BC" w:rsidRDefault="00AE59BE" w:rsidP="008A224D">
      <w:r>
        <w:t xml:space="preserve">In addition, to test the </w:t>
      </w:r>
      <w:r w:rsidR="000906FC">
        <w:t xml:space="preserve">impact that the data would have on the annual mean, </w:t>
      </w:r>
      <w:r w:rsidR="007122BC">
        <w:t>Calculations were undertaken with the results included, and the annual mean at all locations was</w:t>
      </w:r>
      <w:r w:rsidR="005C1384">
        <w:t xml:space="preserve"> relatively unchanged. </w:t>
      </w:r>
    </w:p>
    <w:p w14:paraId="0C5BF52D" w14:textId="61306364" w:rsidR="005C1384" w:rsidRPr="007122BC" w:rsidRDefault="005C1384" w:rsidP="008A224D">
      <w:r>
        <w:t xml:space="preserve">The data is presented in Table B.1 for April, however it has not been included in the calculations for the annual mean. </w:t>
      </w:r>
    </w:p>
    <w:p w14:paraId="26A9FD17" w14:textId="05278213" w:rsidR="00985D15" w:rsidRDefault="001125F6" w:rsidP="00140435">
      <w:pPr>
        <w:pStyle w:val="Heading3"/>
        <w:numPr>
          <w:ilvl w:val="0"/>
          <w:numId w:val="0"/>
        </w:numPr>
      </w:pPr>
      <w:bookmarkStart w:id="113" w:name="_Toc75438393"/>
      <w:r>
        <w:t>Diffusion Tube Annualisation</w:t>
      </w:r>
      <w:bookmarkEnd w:id="113"/>
    </w:p>
    <w:p w14:paraId="0381D9A5" w14:textId="45692B0F" w:rsidR="00DD209C" w:rsidRDefault="003418CE" w:rsidP="002D5EAF">
      <w:r>
        <w:t>For those sites with a data capture of less tha</w:t>
      </w:r>
      <w:r w:rsidR="00DD209C">
        <w:t>n</w:t>
      </w:r>
      <w:r>
        <w:t xml:space="preserve"> 75%</w:t>
      </w:r>
      <w:r w:rsidR="00DD209C">
        <w:t xml:space="preserve">, annualisation is required to </w:t>
      </w:r>
      <w:r w:rsidR="00205AA2">
        <w:t xml:space="preserve">calculate </w:t>
      </w:r>
      <w:r w:rsidR="00DD209C">
        <w:t>the annual mean. The sites requiring this calculation are:</w:t>
      </w:r>
    </w:p>
    <w:p w14:paraId="6A3BC726" w14:textId="0DE5BFB1" w:rsidR="00DD209C" w:rsidRDefault="004F025A" w:rsidP="004F025A">
      <w:r>
        <w:t>DT3, DT7</w:t>
      </w:r>
      <w:r w:rsidR="00E63207">
        <w:t xml:space="preserve">, </w:t>
      </w:r>
      <w:r>
        <w:t>DT9</w:t>
      </w:r>
      <w:r w:rsidR="00E63207">
        <w:t xml:space="preserve">, </w:t>
      </w:r>
      <w:r>
        <w:t>DT11</w:t>
      </w:r>
      <w:r w:rsidR="00E63207">
        <w:t xml:space="preserve">, </w:t>
      </w:r>
      <w:r>
        <w:t>DT12</w:t>
      </w:r>
      <w:r w:rsidR="00E63207">
        <w:t xml:space="preserve">, </w:t>
      </w:r>
      <w:r>
        <w:t>T15</w:t>
      </w:r>
      <w:r w:rsidR="00E63207">
        <w:t xml:space="preserve">, </w:t>
      </w:r>
      <w:r>
        <w:t>DT29</w:t>
      </w:r>
      <w:r w:rsidR="00E63207">
        <w:t xml:space="preserve">, </w:t>
      </w:r>
      <w:r>
        <w:t>DT30</w:t>
      </w:r>
      <w:r w:rsidR="00E63207">
        <w:t xml:space="preserve">, </w:t>
      </w:r>
      <w:r>
        <w:t>DT32</w:t>
      </w:r>
      <w:r w:rsidR="00E63207">
        <w:t>, D</w:t>
      </w:r>
      <w:r>
        <w:t>T33</w:t>
      </w:r>
      <w:r w:rsidR="00E63207">
        <w:t xml:space="preserve">, </w:t>
      </w:r>
      <w:r>
        <w:t>DT37</w:t>
      </w:r>
      <w:r w:rsidR="00E63207">
        <w:t>.</w:t>
      </w:r>
    </w:p>
    <w:p w14:paraId="41F7956F" w14:textId="4FE6DC01" w:rsidR="00EF0F06" w:rsidRDefault="006A2E4B" w:rsidP="004F025A">
      <w:r>
        <w:t>Table C.2 below shows the calculation method that is used as per LAQM TG</w:t>
      </w:r>
      <w:r w:rsidR="003B249F">
        <w:t>.16.</w:t>
      </w:r>
    </w:p>
    <w:p w14:paraId="37CE0D8D" w14:textId="623379CD" w:rsidR="00DD209C" w:rsidRPr="003418CE" w:rsidRDefault="003B249F" w:rsidP="002D5EAF">
      <w:r>
        <w:t>Four local sites which are part of the nation</w:t>
      </w:r>
      <w:r w:rsidR="007C7553">
        <w:t xml:space="preserve">al Automatic Urban and Rural monitoring network have been identified, however </w:t>
      </w:r>
      <w:r w:rsidR="00D85BD1">
        <w:t>data capture at Sunderland Sil</w:t>
      </w:r>
      <w:r w:rsidR="00C74A02">
        <w:t xml:space="preserve">ksworth is not sufficient to be included in the calculation methodology, three sites </w:t>
      </w:r>
      <w:r w:rsidR="00C003A1">
        <w:t>are</w:t>
      </w:r>
      <w:r w:rsidR="00C74A02">
        <w:t xml:space="preserve"> appropriate according to guidance.</w:t>
      </w:r>
    </w:p>
    <w:p w14:paraId="6B85C0E2" w14:textId="2309F74B" w:rsidR="00652F01" w:rsidRPr="00652F01" w:rsidRDefault="00652F01" w:rsidP="00400B0F">
      <w:pPr>
        <w:pStyle w:val="Heading3"/>
        <w:numPr>
          <w:ilvl w:val="0"/>
          <w:numId w:val="0"/>
        </w:numPr>
        <w:ind w:left="720" w:hanging="720"/>
      </w:pPr>
      <w:bookmarkStart w:id="114" w:name="_Toc75438394"/>
      <w:r>
        <w:t>Diffusion Tube Bias Adjustment Factors</w:t>
      </w:r>
      <w:bookmarkEnd w:id="114"/>
    </w:p>
    <w:p w14:paraId="2584FCC5" w14:textId="58CCBF98" w:rsidR="00D82A7E" w:rsidRDefault="00D82A7E" w:rsidP="00400B0F">
      <w:r w:rsidRPr="00D82A7E">
        <w:t xml:space="preserve">The diffusion tube data </w:t>
      </w:r>
      <w:r>
        <w:t>presented within the</w:t>
      </w:r>
      <w:r w:rsidR="00E02417">
        <w:t xml:space="preserve"> 2020</w:t>
      </w:r>
      <w:r w:rsidRPr="00483A86">
        <w:rPr>
          <w:color w:val="FF0000"/>
        </w:rPr>
        <w:t xml:space="preserve"> </w:t>
      </w:r>
      <w:r w:rsidRPr="00D82A7E">
        <w:t>ASR ha</w:t>
      </w:r>
      <w:r w:rsidR="00954029">
        <w:t>ve</w:t>
      </w:r>
      <w:r w:rsidRPr="00D82A7E">
        <w:t xml:space="preserve"> been corrected </w:t>
      </w:r>
      <w:r w:rsidR="00954029">
        <w:t>for</w:t>
      </w:r>
      <w:r w:rsidRPr="00D82A7E">
        <w:t xml:space="preserve"> bias </w:t>
      </w:r>
      <w:r w:rsidR="00954029">
        <w:t xml:space="preserve">using an </w:t>
      </w:r>
      <w:r w:rsidRPr="00D82A7E">
        <w:t>adjustment factor</w:t>
      </w:r>
      <w:r w:rsidR="00954029">
        <w:t>. Bias represents the overall tendency of the diffusion tubes to under or over-read relative to the reference chemiluminescence analyser.</w:t>
      </w:r>
      <w:r w:rsidRPr="00D82A7E">
        <w:t xml:space="preserve"> LAQM.TG16 provides guidance with regard to the application of a bias adjustment factor to correct diffusion tube monitoring. Triplicate co-location studies can be used to determine a local bias factor based on the comparison of diffusion tube results with data taken from NO</w:t>
      </w:r>
      <w:r w:rsidRPr="00D82A7E">
        <w:rPr>
          <w:vertAlign w:val="subscript"/>
        </w:rPr>
        <w:t>x</w:t>
      </w:r>
      <w:r w:rsidRPr="00D82A7E">
        <w:t>/NO</w:t>
      </w:r>
      <w:r w:rsidRPr="00D82A7E">
        <w:rPr>
          <w:vertAlign w:val="subscript"/>
        </w:rPr>
        <w:t>2</w:t>
      </w:r>
      <w:r w:rsidRPr="00D82A7E">
        <w:t xml:space="preserve"> continuous analysers. Alternatively, the national database of diffusion tube co-location surveys provides bias factors for the relevant laboratory and preparation method.</w:t>
      </w:r>
    </w:p>
    <w:p w14:paraId="488C70AA" w14:textId="62D4D7B2" w:rsidR="00D82A7E" w:rsidRDefault="00965FEF" w:rsidP="00400B0F">
      <w:r>
        <w:t xml:space="preserve">South Tyneside Council </w:t>
      </w:r>
      <w:r w:rsidR="00D82A7E" w:rsidRPr="00D82A7E">
        <w:t>have applied a</w:t>
      </w:r>
      <w:r>
        <w:t xml:space="preserve"> local </w:t>
      </w:r>
      <w:r w:rsidR="00D82A7E" w:rsidRPr="00D82A7E">
        <w:t>bias adjustment factor</w:t>
      </w:r>
      <w:r w:rsidR="00D82A7E">
        <w:t xml:space="preserve"> of</w:t>
      </w:r>
      <w:r>
        <w:t xml:space="preserve"> 0.85</w:t>
      </w:r>
      <w:r w:rsidR="00D82A7E">
        <w:rPr>
          <w:color w:val="FF0000"/>
        </w:rPr>
        <w:t xml:space="preserve"> </w:t>
      </w:r>
      <w:r w:rsidR="00D82A7E">
        <w:t>to the</w:t>
      </w:r>
      <w:r>
        <w:t xml:space="preserve"> 2020 </w:t>
      </w:r>
      <w:r w:rsidR="00D82A7E">
        <w:t>monitoring data. A summary of bias adjustment factors used by</w:t>
      </w:r>
      <w:r>
        <w:t xml:space="preserve"> South Tyneside Council</w:t>
      </w:r>
      <w:r w:rsidR="00D82A7E">
        <w:t xml:space="preserve"> </w:t>
      </w:r>
      <w:r w:rsidR="00D82A7E" w:rsidRPr="00D82A7E">
        <w:t xml:space="preserve">over the past five years is presented in </w:t>
      </w:r>
      <w:r w:rsidR="00D82A7E">
        <w:rPr>
          <w:color w:val="2B579A"/>
          <w:shd w:val="clear" w:color="auto" w:fill="E6E6E6"/>
        </w:rPr>
        <w:fldChar w:fldCharType="begin"/>
      </w:r>
      <w:r w:rsidR="00D82A7E">
        <w:instrText xml:space="preserve"> REF _Ref63279892 \h </w:instrText>
      </w:r>
      <w:r w:rsidR="00400B0F">
        <w:instrText xml:space="preserve"> \* MERGEFORMAT </w:instrText>
      </w:r>
      <w:r w:rsidR="00D82A7E">
        <w:rPr>
          <w:color w:val="2B579A"/>
          <w:shd w:val="clear" w:color="auto" w:fill="E6E6E6"/>
        </w:rPr>
      </w:r>
      <w:r w:rsidR="00D82A7E">
        <w:rPr>
          <w:color w:val="2B579A"/>
          <w:shd w:val="clear" w:color="auto" w:fill="E6E6E6"/>
        </w:rPr>
        <w:fldChar w:fldCharType="separate"/>
      </w:r>
      <w:r w:rsidR="0062374A">
        <w:t>Table C.</w:t>
      </w:r>
      <w:r w:rsidR="0062374A">
        <w:rPr>
          <w:noProof/>
        </w:rPr>
        <w:t>1</w:t>
      </w:r>
      <w:r w:rsidR="00D82A7E">
        <w:rPr>
          <w:color w:val="2B579A"/>
          <w:shd w:val="clear" w:color="auto" w:fill="E6E6E6"/>
        </w:rPr>
        <w:fldChar w:fldCharType="end"/>
      </w:r>
      <w:r w:rsidR="00D82A7E">
        <w:t>.</w:t>
      </w:r>
    </w:p>
    <w:p w14:paraId="1A63A46E" w14:textId="2CCB4B8B" w:rsidR="00F44CA6" w:rsidRDefault="00F44CA6" w:rsidP="00400B0F">
      <w:r>
        <w:t xml:space="preserve">For comparison, using the national bias adjustment spreadsheet </w:t>
      </w:r>
      <w:r w:rsidR="003115E2">
        <w:t xml:space="preserve">calculation found </w:t>
      </w:r>
      <w:r w:rsidR="002B2352">
        <w:t xml:space="preserve">on the </w:t>
      </w:r>
      <w:hyperlink r:id="rId50" w:history="1">
        <w:r w:rsidR="002B2352" w:rsidRPr="002B2352">
          <w:rPr>
            <w:rStyle w:val="Hyperlink"/>
          </w:rPr>
          <w:t>LAQM website</w:t>
        </w:r>
      </w:hyperlink>
      <w:r w:rsidR="002B2352">
        <w:t xml:space="preserve"> the national bias adjustment figure is 0.81 –</w:t>
      </w:r>
    </w:p>
    <w:p w14:paraId="558B4B3D" w14:textId="1572E8A3" w:rsidR="002B2352" w:rsidRDefault="006A391C" w:rsidP="00400B0F">
      <w:r>
        <w:rPr>
          <w:noProof/>
        </w:rPr>
        <w:drawing>
          <wp:inline distT="0" distB="0" distL="0" distR="0" wp14:anchorId="1AEA1142" wp14:editId="0E9307D3">
            <wp:extent cx="6090699" cy="109971"/>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77802" r="20230" b="19637"/>
                    <a:stretch/>
                  </pic:blipFill>
                  <pic:spPr bwMode="auto">
                    <a:xfrm>
                      <a:off x="0" y="0"/>
                      <a:ext cx="11183201" cy="201919"/>
                    </a:xfrm>
                    <a:prstGeom prst="rect">
                      <a:avLst/>
                    </a:prstGeom>
                    <a:ln>
                      <a:noFill/>
                    </a:ln>
                    <a:extLst>
                      <a:ext uri="{53640926-AAD7-44D8-BBD7-CCE9431645EC}">
                        <a14:shadowObscured xmlns:a14="http://schemas.microsoft.com/office/drawing/2010/main"/>
                      </a:ext>
                    </a:extLst>
                  </pic:spPr>
                </pic:pic>
              </a:graphicData>
            </a:graphic>
          </wp:inline>
        </w:drawing>
      </w:r>
    </w:p>
    <w:p w14:paraId="7453804A" w14:textId="673D12FD" w:rsidR="006A391C" w:rsidRDefault="006A391C" w:rsidP="00400B0F">
      <w:r>
        <w:t xml:space="preserve">Therefore, as the </w:t>
      </w:r>
      <w:r w:rsidR="00866733">
        <w:t xml:space="preserve">overall diffusion tube precision, and the overall </w:t>
      </w:r>
      <w:r w:rsidR="00721C54">
        <w:t xml:space="preserve">continuous monitor data capture has been identified as “good” using the </w:t>
      </w:r>
      <w:r w:rsidR="005D4856">
        <w:t>AEA_DifTPAB_v04</w:t>
      </w:r>
      <w:r w:rsidR="00721C54">
        <w:t xml:space="preserve"> processing tool provided by DEFRA – </w:t>
      </w:r>
    </w:p>
    <w:p w14:paraId="6F4A8DC5" w14:textId="1AE0385F" w:rsidR="00721C54" w:rsidRDefault="005D4856" w:rsidP="00400B0F">
      <w:r>
        <w:rPr>
          <w:noProof/>
        </w:rPr>
        <w:drawing>
          <wp:inline distT="0" distB="0" distL="0" distR="0" wp14:anchorId="26DF484A" wp14:editId="0302C9B1">
            <wp:extent cx="6045200" cy="364774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30530" r="48039" b="13729"/>
                    <a:stretch/>
                  </pic:blipFill>
                  <pic:spPr bwMode="auto">
                    <a:xfrm>
                      <a:off x="0" y="0"/>
                      <a:ext cx="6060368" cy="3656896"/>
                    </a:xfrm>
                    <a:prstGeom prst="rect">
                      <a:avLst/>
                    </a:prstGeom>
                    <a:ln>
                      <a:noFill/>
                    </a:ln>
                    <a:extLst>
                      <a:ext uri="{53640926-AAD7-44D8-BBD7-CCE9431645EC}">
                        <a14:shadowObscured xmlns:a14="http://schemas.microsoft.com/office/drawing/2010/main"/>
                      </a:ext>
                    </a:extLst>
                  </pic:spPr>
                </pic:pic>
              </a:graphicData>
            </a:graphic>
          </wp:inline>
        </w:drawing>
      </w:r>
    </w:p>
    <w:p w14:paraId="48C09C70" w14:textId="64289D0B" w:rsidR="00721C54" w:rsidRDefault="00721C54" w:rsidP="00400B0F">
      <w:r>
        <w:t xml:space="preserve">South Tyneside Council have taken the </w:t>
      </w:r>
      <w:r w:rsidR="005717C5">
        <w:t xml:space="preserve">cautious </w:t>
      </w:r>
      <w:r w:rsidR="003A145F">
        <w:t xml:space="preserve">“Worst case scenario” </w:t>
      </w:r>
      <w:r w:rsidR="005717C5">
        <w:t>approach to use the local bias adjustment factor.</w:t>
      </w:r>
    </w:p>
    <w:p w14:paraId="44BA74D7" w14:textId="774E620F" w:rsidR="00D82A7E" w:rsidRPr="005D4856" w:rsidRDefault="00DE4224" w:rsidP="005D4856">
      <w:r>
        <w:t xml:space="preserve">The co-location site is the Edinburgh Road continuous monitoring station, where </w:t>
      </w:r>
      <w:r w:rsidR="00294A62">
        <w:t>triplicate diffusion tubes are located next to the inlet of the statio</w:t>
      </w:r>
      <w:r w:rsidR="005D4856">
        <w:t>n</w:t>
      </w:r>
    </w:p>
    <w:p w14:paraId="57CECB00" w14:textId="67B6ED76" w:rsidR="00DF35D1" w:rsidRDefault="000621C7" w:rsidP="00400B0F">
      <w:pPr>
        <w:pStyle w:val="Caption"/>
      </w:pPr>
      <w:bookmarkStart w:id="115" w:name="_Ref63279892"/>
      <w:bookmarkStart w:id="116" w:name="_Toc75438463"/>
      <w:r>
        <w:t>Table C.</w:t>
      </w:r>
      <w:r w:rsidR="004813E8">
        <w:rPr>
          <w:color w:val="2B579A"/>
          <w:shd w:val="clear" w:color="auto" w:fill="E6E6E6"/>
        </w:rPr>
        <w:fldChar w:fldCharType="begin"/>
      </w:r>
      <w:r w:rsidR="004813E8">
        <w:rPr>
          <w:noProof/>
        </w:rPr>
        <w:instrText xml:space="preserve"> SEQ Table_C \* ARABIC </w:instrText>
      </w:r>
      <w:r w:rsidR="004813E8">
        <w:rPr>
          <w:color w:val="2B579A"/>
          <w:shd w:val="clear" w:color="auto" w:fill="E6E6E6"/>
        </w:rPr>
        <w:fldChar w:fldCharType="separate"/>
      </w:r>
      <w:r w:rsidR="0062374A">
        <w:rPr>
          <w:noProof/>
        </w:rPr>
        <w:t>1</w:t>
      </w:r>
      <w:r w:rsidR="004813E8">
        <w:rPr>
          <w:color w:val="2B579A"/>
          <w:shd w:val="clear" w:color="auto" w:fill="E6E6E6"/>
        </w:rPr>
        <w:fldChar w:fldCharType="end"/>
      </w:r>
      <w:bookmarkEnd w:id="115"/>
      <w:r>
        <w:t xml:space="preserve"> – Bias Adjustment Factor</w:t>
      </w:r>
      <w:bookmarkEnd w:id="116"/>
    </w:p>
    <w:tbl>
      <w:tblPr>
        <w:tblStyle w:val="TableStyle4"/>
        <w:tblW w:w="0" w:type="auto"/>
        <w:tblLook w:val="04A0" w:firstRow="1" w:lastRow="0" w:firstColumn="1" w:lastColumn="0" w:noHBand="0" w:noVBand="1"/>
      </w:tblPr>
      <w:tblGrid>
        <w:gridCol w:w="2402"/>
        <w:gridCol w:w="2403"/>
        <w:gridCol w:w="2403"/>
        <w:gridCol w:w="2403"/>
      </w:tblGrid>
      <w:tr w:rsidR="005155CD" w:rsidRPr="000621C7" w14:paraId="67854343" w14:textId="77777777" w:rsidTr="002A06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1C2038D6" w14:textId="015BAEE5" w:rsidR="005155CD" w:rsidRPr="000621C7" w:rsidRDefault="005155CD" w:rsidP="002A068B">
            <w:pPr>
              <w:spacing w:line="240" w:lineRule="auto"/>
              <w:rPr>
                <w:b w:val="0"/>
                <w:sz w:val="20"/>
                <w:szCs w:val="18"/>
              </w:rPr>
            </w:pPr>
            <w:r w:rsidRPr="000621C7">
              <w:rPr>
                <w:b w:val="0"/>
                <w:sz w:val="20"/>
                <w:szCs w:val="18"/>
              </w:rPr>
              <w:t>Year</w:t>
            </w:r>
          </w:p>
        </w:tc>
        <w:tc>
          <w:tcPr>
            <w:tcW w:w="2403" w:type="dxa"/>
          </w:tcPr>
          <w:p w14:paraId="3D27ECC8" w14:textId="1A559342" w:rsidR="005155CD" w:rsidRPr="005155CD" w:rsidRDefault="005155CD" w:rsidP="002A068B">
            <w:pPr>
              <w:spacing w:line="240" w:lineRule="auto"/>
              <w:cnfStyle w:val="100000000000" w:firstRow="1" w:lastRow="0" w:firstColumn="0" w:lastColumn="0" w:oddVBand="0" w:evenVBand="0" w:oddHBand="0" w:evenHBand="0" w:firstRowFirstColumn="0" w:firstRowLastColumn="0" w:lastRowFirstColumn="0" w:lastRowLastColumn="0"/>
              <w:rPr>
                <w:sz w:val="20"/>
                <w:szCs w:val="18"/>
              </w:rPr>
            </w:pPr>
            <w:r w:rsidRPr="005155CD">
              <w:rPr>
                <w:sz w:val="20"/>
                <w:szCs w:val="18"/>
              </w:rPr>
              <w:t>Local or National</w:t>
            </w:r>
          </w:p>
        </w:tc>
        <w:tc>
          <w:tcPr>
            <w:tcW w:w="2403" w:type="dxa"/>
          </w:tcPr>
          <w:p w14:paraId="509F10D2" w14:textId="397969B5" w:rsidR="005155CD" w:rsidRPr="005155CD" w:rsidRDefault="005155CD"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18"/>
              </w:rPr>
            </w:pPr>
            <w:r w:rsidRPr="005155CD">
              <w:rPr>
                <w:rFonts w:cs="Arial"/>
                <w:sz w:val="20"/>
                <w:szCs w:val="18"/>
              </w:rPr>
              <w:t xml:space="preserve">If </w:t>
            </w:r>
            <w:r w:rsidR="005172B9">
              <w:rPr>
                <w:rFonts w:cs="Arial"/>
                <w:sz w:val="20"/>
                <w:szCs w:val="18"/>
              </w:rPr>
              <w:t>National</w:t>
            </w:r>
            <w:r>
              <w:rPr>
                <w:rFonts w:cs="Arial"/>
                <w:sz w:val="20"/>
                <w:szCs w:val="18"/>
              </w:rPr>
              <w:t>, Version of National Spreadsheet</w:t>
            </w:r>
          </w:p>
        </w:tc>
        <w:tc>
          <w:tcPr>
            <w:tcW w:w="2403" w:type="dxa"/>
          </w:tcPr>
          <w:p w14:paraId="3FB395C3" w14:textId="0457892A" w:rsidR="005155CD" w:rsidRPr="005155CD" w:rsidRDefault="005155CD" w:rsidP="002A068B">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sz w:val="20"/>
                <w:szCs w:val="18"/>
              </w:rPr>
            </w:pPr>
            <w:r w:rsidRPr="005155CD">
              <w:rPr>
                <w:rFonts w:cs="Arial"/>
                <w:b w:val="0"/>
                <w:bCs/>
                <w:sz w:val="20"/>
                <w:szCs w:val="18"/>
              </w:rPr>
              <w:t>Adjustment Factor</w:t>
            </w:r>
          </w:p>
        </w:tc>
      </w:tr>
      <w:tr w:rsidR="005155CD" w:rsidRPr="000621C7" w14:paraId="5A92583F" w14:textId="77777777" w:rsidTr="002A068B">
        <w:tc>
          <w:tcPr>
            <w:cnfStyle w:val="001000000000" w:firstRow="0" w:lastRow="0" w:firstColumn="1" w:lastColumn="0" w:oddVBand="0" w:evenVBand="0" w:oddHBand="0" w:evenHBand="0" w:firstRowFirstColumn="0" w:firstRowLastColumn="0" w:lastRowFirstColumn="0" w:lastRowLastColumn="0"/>
            <w:tcW w:w="2402" w:type="dxa"/>
          </w:tcPr>
          <w:p w14:paraId="360F72AC" w14:textId="095CFDCA" w:rsidR="005155CD" w:rsidRPr="002A068B" w:rsidRDefault="008E3B3B" w:rsidP="002A068B">
            <w:pPr>
              <w:spacing w:line="240" w:lineRule="auto"/>
              <w:rPr>
                <w:b/>
                <w:bCs/>
                <w:sz w:val="20"/>
                <w:szCs w:val="18"/>
                <w:u w:color="FFFFFF" w:themeColor="background1"/>
              </w:rPr>
            </w:pPr>
            <w:r w:rsidRPr="002A068B">
              <w:rPr>
                <w:b/>
                <w:bCs/>
                <w:sz w:val="20"/>
                <w:szCs w:val="18"/>
                <w:u w:color="FFFFFF" w:themeColor="background1"/>
              </w:rPr>
              <w:t>2020</w:t>
            </w:r>
          </w:p>
        </w:tc>
        <w:tc>
          <w:tcPr>
            <w:tcW w:w="2403" w:type="dxa"/>
          </w:tcPr>
          <w:p w14:paraId="7E7250FB" w14:textId="5EB27C3B" w:rsidR="005155CD" w:rsidRPr="00DC476D" w:rsidRDefault="005155CD" w:rsidP="002A068B">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DC476D">
              <w:rPr>
                <w:sz w:val="20"/>
                <w:szCs w:val="18"/>
                <w:u w:color="FFFFFF" w:themeColor="background1"/>
              </w:rPr>
              <w:t>Local</w:t>
            </w:r>
          </w:p>
        </w:tc>
        <w:tc>
          <w:tcPr>
            <w:tcW w:w="2403" w:type="dxa"/>
          </w:tcPr>
          <w:p w14:paraId="12273B0B" w14:textId="4DFE33F3" w:rsidR="005155CD" w:rsidRPr="000621C7" w:rsidRDefault="00AE271D"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Pr>
                <w:rFonts w:cs="Arial"/>
                <w:color w:val="FF0000"/>
                <w:sz w:val="20"/>
                <w:szCs w:val="18"/>
              </w:rPr>
              <w:t>-</w:t>
            </w:r>
          </w:p>
        </w:tc>
        <w:tc>
          <w:tcPr>
            <w:tcW w:w="2403" w:type="dxa"/>
          </w:tcPr>
          <w:p w14:paraId="02999FC1" w14:textId="21B270D6" w:rsidR="005155CD" w:rsidRPr="00DC476D" w:rsidRDefault="005155CD"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DC476D">
              <w:rPr>
                <w:rFonts w:cs="Arial"/>
                <w:sz w:val="20"/>
                <w:szCs w:val="18"/>
              </w:rPr>
              <w:t>0.</w:t>
            </w:r>
            <w:r w:rsidR="00DC476D" w:rsidRPr="00DC476D">
              <w:rPr>
                <w:rFonts w:cs="Arial"/>
                <w:sz w:val="20"/>
                <w:szCs w:val="18"/>
              </w:rPr>
              <w:t>85</w:t>
            </w:r>
          </w:p>
        </w:tc>
      </w:tr>
      <w:tr w:rsidR="005155CD" w:rsidRPr="000621C7" w14:paraId="24B8F890" w14:textId="77777777" w:rsidTr="002A068B">
        <w:tc>
          <w:tcPr>
            <w:cnfStyle w:val="001000000000" w:firstRow="0" w:lastRow="0" w:firstColumn="1" w:lastColumn="0" w:oddVBand="0" w:evenVBand="0" w:oddHBand="0" w:evenHBand="0" w:firstRowFirstColumn="0" w:firstRowLastColumn="0" w:lastRowFirstColumn="0" w:lastRowLastColumn="0"/>
            <w:tcW w:w="2402" w:type="dxa"/>
          </w:tcPr>
          <w:p w14:paraId="1307B50D" w14:textId="3687FFBD" w:rsidR="005155CD" w:rsidRPr="002A068B" w:rsidRDefault="008E3B3B" w:rsidP="002A068B">
            <w:pPr>
              <w:spacing w:line="240" w:lineRule="auto"/>
              <w:rPr>
                <w:b/>
                <w:bCs/>
                <w:sz w:val="20"/>
                <w:szCs w:val="18"/>
                <w:u w:color="FFFFFF" w:themeColor="background1"/>
              </w:rPr>
            </w:pPr>
            <w:r w:rsidRPr="002A068B">
              <w:rPr>
                <w:b/>
                <w:bCs/>
                <w:sz w:val="20"/>
                <w:szCs w:val="18"/>
                <w:u w:color="FFFFFF" w:themeColor="background1"/>
              </w:rPr>
              <w:t>2019</w:t>
            </w:r>
          </w:p>
        </w:tc>
        <w:tc>
          <w:tcPr>
            <w:tcW w:w="2403" w:type="dxa"/>
          </w:tcPr>
          <w:p w14:paraId="29B96FAB" w14:textId="6A3C814E" w:rsidR="005155CD" w:rsidRPr="00DC476D" w:rsidRDefault="005155CD" w:rsidP="002A068B">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DC476D">
              <w:rPr>
                <w:sz w:val="20"/>
                <w:szCs w:val="18"/>
                <w:u w:color="FFFFFF" w:themeColor="background1"/>
              </w:rPr>
              <w:t>National</w:t>
            </w:r>
          </w:p>
        </w:tc>
        <w:tc>
          <w:tcPr>
            <w:tcW w:w="2403" w:type="dxa"/>
          </w:tcPr>
          <w:p w14:paraId="5EE59850" w14:textId="57A20BA9" w:rsidR="005155CD" w:rsidRPr="00DC476D" w:rsidRDefault="00DC476D"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Pr>
                <w:rFonts w:cs="Arial"/>
                <w:sz w:val="20"/>
                <w:szCs w:val="18"/>
              </w:rPr>
              <w:t>03</w:t>
            </w:r>
            <w:r w:rsidR="008E3B3B" w:rsidRPr="00DC476D">
              <w:rPr>
                <w:rFonts w:cs="Arial"/>
                <w:sz w:val="20"/>
                <w:szCs w:val="18"/>
              </w:rPr>
              <w:t>/20</w:t>
            </w:r>
          </w:p>
        </w:tc>
        <w:tc>
          <w:tcPr>
            <w:tcW w:w="2403" w:type="dxa"/>
          </w:tcPr>
          <w:p w14:paraId="49FDB296" w14:textId="5FC40A4D" w:rsidR="005155CD" w:rsidRPr="00DC476D" w:rsidRDefault="00DC476D"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DC476D">
              <w:rPr>
                <w:rFonts w:cs="Arial"/>
                <w:sz w:val="20"/>
                <w:szCs w:val="18"/>
              </w:rPr>
              <w:t>0.93</w:t>
            </w:r>
          </w:p>
        </w:tc>
      </w:tr>
      <w:tr w:rsidR="005155CD" w:rsidRPr="000621C7" w14:paraId="2AB4523F" w14:textId="77777777" w:rsidTr="002A068B">
        <w:tc>
          <w:tcPr>
            <w:cnfStyle w:val="001000000000" w:firstRow="0" w:lastRow="0" w:firstColumn="1" w:lastColumn="0" w:oddVBand="0" w:evenVBand="0" w:oddHBand="0" w:evenHBand="0" w:firstRowFirstColumn="0" w:firstRowLastColumn="0" w:lastRowFirstColumn="0" w:lastRowLastColumn="0"/>
            <w:tcW w:w="2402" w:type="dxa"/>
          </w:tcPr>
          <w:p w14:paraId="786F5DC0" w14:textId="1B205D79" w:rsidR="005155CD" w:rsidRPr="002A068B" w:rsidRDefault="005155CD" w:rsidP="002A068B">
            <w:pPr>
              <w:spacing w:line="240" w:lineRule="auto"/>
              <w:rPr>
                <w:b/>
                <w:bCs/>
                <w:sz w:val="20"/>
                <w:szCs w:val="18"/>
                <w:u w:color="FFFFFF" w:themeColor="background1"/>
              </w:rPr>
            </w:pPr>
            <w:r w:rsidRPr="002A068B">
              <w:rPr>
                <w:b/>
                <w:bCs/>
                <w:sz w:val="20"/>
                <w:szCs w:val="18"/>
                <w:u w:color="FFFFFF" w:themeColor="background1"/>
              </w:rPr>
              <w:t>2018</w:t>
            </w:r>
          </w:p>
        </w:tc>
        <w:tc>
          <w:tcPr>
            <w:tcW w:w="2403" w:type="dxa"/>
          </w:tcPr>
          <w:p w14:paraId="636C95C5" w14:textId="10D2A26B" w:rsidR="005155CD" w:rsidRPr="00DC476D" w:rsidRDefault="005155CD" w:rsidP="002A068B">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DC476D">
              <w:rPr>
                <w:sz w:val="20"/>
                <w:szCs w:val="18"/>
                <w:u w:color="FFFFFF" w:themeColor="background1"/>
              </w:rPr>
              <w:t>National</w:t>
            </w:r>
          </w:p>
        </w:tc>
        <w:tc>
          <w:tcPr>
            <w:tcW w:w="2403" w:type="dxa"/>
          </w:tcPr>
          <w:p w14:paraId="55311B7A" w14:textId="472CD4C8" w:rsidR="005155CD" w:rsidRPr="00DC476D" w:rsidRDefault="005155CD"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DC476D">
              <w:rPr>
                <w:rFonts w:cs="Arial"/>
                <w:sz w:val="20"/>
                <w:szCs w:val="18"/>
              </w:rPr>
              <w:t>0</w:t>
            </w:r>
            <w:r w:rsidR="00DC476D">
              <w:rPr>
                <w:rFonts w:cs="Arial"/>
                <w:sz w:val="20"/>
                <w:szCs w:val="18"/>
              </w:rPr>
              <w:t>3</w:t>
            </w:r>
            <w:r w:rsidRPr="00DC476D">
              <w:rPr>
                <w:rFonts w:cs="Arial"/>
                <w:sz w:val="20"/>
                <w:szCs w:val="18"/>
              </w:rPr>
              <w:t>/19</w:t>
            </w:r>
          </w:p>
        </w:tc>
        <w:tc>
          <w:tcPr>
            <w:tcW w:w="2403" w:type="dxa"/>
          </w:tcPr>
          <w:p w14:paraId="57BA8CB1" w14:textId="2493E9A1" w:rsidR="005155CD" w:rsidRPr="00DC476D" w:rsidRDefault="00DC476D"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DC476D">
              <w:rPr>
                <w:rFonts w:cs="Arial"/>
                <w:sz w:val="20"/>
                <w:szCs w:val="18"/>
              </w:rPr>
              <w:t>0.93</w:t>
            </w:r>
          </w:p>
        </w:tc>
      </w:tr>
      <w:tr w:rsidR="005155CD" w:rsidRPr="000621C7" w14:paraId="4E587CAD" w14:textId="77777777" w:rsidTr="002A068B">
        <w:tc>
          <w:tcPr>
            <w:cnfStyle w:val="001000000000" w:firstRow="0" w:lastRow="0" w:firstColumn="1" w:lastColumn="0" w:oddVBand="0" w:evenVBand="0" w:oddHBand="0" w:evenHBand="0" w:firstRowFirstColumn="0" w:firstRowLastColumn="0" w:lastRowFirstColumn="0" w:lastRowLastColumn="0"/>
            <w:tcW w:w="2402" w:type="dxa"/>
          </w:tcPr>
          <w:p w14:paraId="1B8411F2" w14:textId="41AF45E8" w:rsidR="005155CD" w:rsidRPr="002A068B" w:rsidRDefault="008E3B3B" w:rsidP="002A068B">
            <w:pPr>
              <w:spacing w:line="240" w:lineRule="auto"/>
              <w:rPr>
                <w:b/>
                <w:bCs/>
                <w:sz w:val="20"/>
                <w:szCs w:val="18"/>
                <w:u w:color="FFFFFF" w:themeColor="background1"/>
              </w:rPr>
            </w:pPr>
            <w:r w:rsidRPr="002A068B">
              <w:rPr>
                <w:b/>
                <w:bCs/>
                <w:sz w:val="20"/>
                <w:szCs w:val="18"/>
                <w:u w:color="FFFFFF" w:themeColor="background1"/>
              </w:rPr>
              <w:t>2017</w:t>
            </w:r>
          </w:p>
        </w:tc>
        <w:tc>
          <w:tcPr>
            <w:tcW w:w="2403" w:type="dxa"/>
          </w:tcPr>
          <w:p w14:paraId="34B12BBC" w14:textId="5A4A91E4" w:rsidR="005155CD" w:rsidRPr="00DC476D" w:rsidRDefault="005155CD" w:rsidP="002A068B">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DC476D">
              <w:rPr>
                <w:sz w:val="20"/>
                <w:szCs w:val="18"/>
                <w:u w:color="FFFFFF" w:themeColor="background1"/>
              </w:rPr>
              <w:t>National</w:t>
            </w:r>
          </w:p>
        </w:tc>
        <w:tc>
          <w:tcPr>
            <w:tcW w:w="2403" w:type="dxa"/>
          </w:tcPr>
          <w:p w14:paraId="7FA136B0" w14:textId="79FE29E9" w:rsidR="005155CD" w:rsidRPr="00DC476D" w:rsidRDefault="005155CD"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DC476D">
              <w:rPr>
                <w:rFonts w:cs="Arial"/>
                <w:sz w:val="20"/>
                <w:szCs w:val="18"/>
              </w:rPr>
              <w:t>0</w:t>
            </w:r>
            <w:r w:rsidR="00DC476D">
              <w:rPr>
                <w:rFonts w:cs="Arial"/>
                <w:sz w:val="20"/>
                <w:szCs w:val="18"/>
              </w:rPr>
              <w:t>3</w:t>
            </w:r>
            <w:r w:rsidRPr="00DC476D">
              <w:rPr>
                <w:rFonts w:cs="Arial"/>
                <w:sz w:val="20"/>
                <w:szCs w:val="18"/>
              </w:rPr>
              <w:t>/</w:t>
            </w:r>
            <w:r w:rsidR="008E3B3B" w:rsidRPr="00DC476D">
              <w:rPr>
                <w:rFonts w:cs="Arial"/>
                <w:sz w:val="20"/>
                <w:szCs w:val="18"/>
              </w:rPr>
              <w:t>18</w:t>
            </w:r>
          </w:p>
        </w:tc>
        <w:tc>
          <w:tcPr>
            <w:tcW w:w="2403" w:type="dxa"/>
          </w:tcPr>
          <w:p w14:paraId="0BE79554" w14:textId="1A809409" w:rsidR="005155CD" w:rsidRPr="00DC476D" w:rsidRDefault="00DC476D"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DC476D">
              <w:rPr>
                <w:rFonts w:cs="Arial"/>
                <w:sz w:val="20"/>
                <w:szCs w:val="18"/>
              </w:rPr>
              <w:t>0.87</w:t>
            </w:r>
          </w:p>
        </w:tc>
      </w:tr>
      <w:tr w:rsidR="005155CD" w:rsidRPr="000621C7" w14:paraId="6FAE7FD5" w14:textId="77777777" w:rsidTr="002A068B">
        <w:tc>
          <w:tcPr>
            <w:cnfStyle w:val="001000000000" w:firstRow="0" w:lastRow="0" w:firstColumn="1" w:lastColumn="0" w:oddVBand="0" w:evenVBand="0" w:oddHBand="0" w:evenHBand="0" w:firstRowFirstColumn="0" w:firstRowLastColumn="0" w:lastRowFirstColumn="0" w:lastRowLastColumn="0"/>
            <w:tcW w:w="2402" w:type="dxa"/>
          </w:tcPr>
          <w:p w14:paraId="74966525" w14:textId="6E2E8AF3" w:rsidR="005155CD" w:rsidRPr="002A068B" w:rsidRDefault="008E3B3B" w:rsidP="002A068B">
            <w:pPr>
              <w:spacing w:line="240" w:lineRule="auto"/>
              <w:rPr>
                <w:b/>
                <w:bCs/>
                <w:sz w:val="20"/>
                <w:szCs w:val="18"/>
                <w:u w:color="FFFFFF" w:themeColor="background1"/>
              </w:rPr>
            </w:pPr>
            <w:r w:rsidRPr="002A068B">
              <w:rPr>
                <w:b/>
                <w:bCs/>
                <w:sz w:val="20"/>
                <w:szCs w:val="18"/>
                <w:u w:color="FFFFFF" w:themeColor="background1"/>
              </w:rPr>
              <w:t>2016</w:t>
            </w:r>
          </w:p>
        </w:tc>
        <w:tc>
          <w:tcPr>
            <w:tcW w:w="2403" w:type="dxa"/>
          </w:tcPr>
          <w:p w14:paraId="48B33813" w14:textId="7CC60B3E" w:rsidR="005155CD" w:rsidRPr="00DC476D" w:rsidRDefault="005155CD" w:rsidP="002A068B">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DC476D">
              <w:rPr>
                <w:sz w:val="20"/>
                <w:szCs w:val="18"/>
                <w:u w:color="FFFFFF" w:themeColor="background1"/>
              </w:rPr>
              <w:t>National</w:t>
            </w:r>
          </w:p>
        </w:tc>
        <w:tc>
          <w:tcPr>
            <w:tcW w:w="2403" w:type="dxa"/>
          </w:tcPr>
          <w:p w14:paraId="7510AA73" w14:textId="1C4CC7C5" w:rsidR="005155CD" w:rsidRPr="00DC476D" w:rsidRDefault="005155CD"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DC476D">
              <w:rPr>
                <w:rFonts w:cs="Arial"/>
                <w:sz w:val="20"/>
                <w:szCs w:val="18"/>
              </w:rPr>
              <w:t>0</w:t>
            </w:r>
            <w:r w:rsidR="00DC476D">
              <w:rPr>
                <w:rFonts w:cs="Arial"/>
                <w:sz w:val="20"/>
                <w:szCs w:val="18"/>
              </w:rPr>
              <w:t>3</w:t>
            </w:r>
            <w:r w:rsidRPr="00DC476D">
              <w:rPr>
                <w:rFonts w:cs="Arial"/>
                <w:sz w:val="20"/>
                <w:szCs w:val="18"/>
              </w:rPr>
              <w:t>/</w:t>
            </w:r>
            <w:r w:rsidR="008E3B3B" w:rsidRPr="00DC476D">
              <w:rPr>
                <w:rFonts w:cs="Arial"/>
                <w:sz w:val="20"/>
                <w:szCs w:val="18"/>
              </w:rPr>
              <w:t>17</w:t>
            </w:r>
          </w:p>
        </w:tc>
        <w:tc>
          <w:tcPr>
            <w:tcW w:w="2403" w:type="dxa"/>
          </w:tcPr>
          <w:p w14:paraId="1E7AFFA8" w14:textId="60BB920D" w:rsidR="005155CD" w:rsidRPr="000621C7" w:rsidRDefault="00DC476D"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DC476D">
              <w:rPr>
                <w:rFonts w:cs="Arial"/>
                <w:sz w:val="20"/>
                <w:szCs w:val="18"/>
              </w:rPr>
              <w:t>0.92</w:t>
            </w:r>
          </w:p>
        </w:tc>
      </w:tr>
    </w:tbl>
    <w:p w14:paraId="0E26F4D1" w14:textId="77777777" w:rsidR="00B05D04" w:rsidRPr="00B05D04" w:rsidRDefault="00B05D04" w:rsidP="00400B0F">
      <w:pPr>
        <w:pStyle w:val="Heading3"/>
        <w:numPr>
          <w:ilvl w:val="0"/>
          <w:numId w:val="0"/>
        </w:numPr>
        <w:ind w:left="720" w:hanging="720"/>
      </w:pPr>
      <w:bookmarkStart w:id="117" w:name="_Toc75438395"/>
      <w:r>
        <w:t>NO</w:t>
      </w:r>
      <w:r>
        <w:rPr>
          <w:vertAlign w:val="subscript"/>
        </w:rPr>
        <w:t>2</w:t>
      </w:r>
      <w:r>
        <w:t xml:space="preserve"> Fall-off with Distance from the Road</w:t>
      </w:r>
      <w:bookmarkEnd w:id="117"/>
    </w:p>
    <w:p w14:paraId="078AA0F0" w14:textId="734D8581" w:rsidR="00B05D04" w:rsidRPr="00020B79" w:rsidRDefault="00B05D04" w:rsidP="00400B0F">
      <w:r w:rsidRPr="00B05D04">
        <w:t>Wherever possible, local authorities should ensure that monitoring locations are representative of exposure. However, where this is not possible, the NO</w:t>
      </w:r>
      <w:r w:rsidRPr="00B05D04">
        <w:rPr>
          <w:vertAlign w:val="subscript"/>
        </w:rPr>
        <w:t>2</w:t>
      </w:r>
      <w:r w:rsidRPr="00B05D04">
        <w:t xml:space="preserve"> concentration at the nearest location relevant for exposure should be estimated using the</w:t>
      </w:r>
      <w:r w:rsidR="006415AD">
        <w:t xml:space="preserve"> </w:t>
      </w:r>
      <w:r w:rsidR="007B05CB">
        <w:t>D</w:t>
      </w:r>
      <w:r w:rsidR="00AE271D">
        <w:t xml:space="preserve">iffusion </w:t>
      </w:r>
      <w:r w:rsidR="007B05CB">
        <w:t>T</w:t>
      </w:r>
      <w:r w:rsidR="00AE271D">
        <w:t xml:space="preserve">ube </w:t>
      </w:r>
      <w:r w:rsidR="007B05CB">
        <w:t>D</w:t>
      </w:r>
      <w:r w:rsidR="00AE271D">
        <w:t xml:space="preserve">ata </w:t>
      </w:r>
      <w:r w:rsidR="007B05CB">
        <w:t>P</w:t>
      </w:r>
      <w:r w:rsidR="00AE271D">
        <w:t xml:space="preserve">rocessing </w:t>
      </w:r>
      <w:r w:rsidR="007B05CB">
        <w:t>T</w:t>
      </w:r>
      <w:r w:rsidR="00AE271D">
        <w:t>ool/</w:t>
      </w:r>
      <w:r w:rsidR="006415AD">
        <w:t>NO</w:t>
      </w:r>
      <w:r w:rsidR="006415AD">
        <w:rPr>
          <w:vertAlign w:val="subscript"/>
        </w:rPr>
        <w:t>2</w:t>
      </w:r>
      <w:r w:rsidR="006415AD">
        <w:t xml:space="preserve"> fall-off with distance calculator</w:t>
      </w:r>
      <w:r w:rsidRPr="00B05D04">
        <w:t xml:space="preserve"> available on the LAQM Support website.</w:t>
      </w:r>
      <w:r w:rsidR="00020B79">
        <w:t xml:space="preserve"> Where appropriate, </w:t>
      </w:r>
      <w:r w:rsidR="00E435D2">
        <w:t xml:space="preserve">non-automatic </w:t>
      </w:r>
      <w:r w:rsidR="00020B79">
        <w:t>annual mean NO</w:t>
      </w:r>
      <w:r w:rsidR="00020B79">
        <w:rPr>
          <w:vertAlign w:val="subscript"/>
        </w:rPr>
        <w:t>2</w:t>
      </w:r>
      <w:r w:rsidR="00020B79">
        <w:t xml:space="preserve"> concentrations corrected for distance are presented in </w:t>
      </w:r>
      <w:r w:rsidR="00020B79">
        <w:rPr>
          <w:color w:val="2B579A"/>
          <w:shd w:val="clear" w:color="auto" w:fill="E6E6E6"/>
        </w:rPr>
        <w:fldChar w:fldCharType="begin"/>
      </w:r>
      <w:r w:rsidR="00020B79">
        <w:instrText xml:space="preserve"> REF _Ref55286624 \h </w:instrText>
      </w:r>
      <w:r w:rsidR="00400B0F">
        <w:instrText xml:space="preserve"> \* MERGEFORMAT </w:instrText>
      </w:r>
      <w:r w:rsidR="00020B79">
        <w:rPr>
          <w:color w:val="2B579A"/>
          <w:shd w:val="clear" w:color="auto" w:fill="E6E6E6"/>
        </w:rPr>
      </w:r>
      <w:r w:rsidR="00020B79">
        <w:rPr>
          <w:color w:val="2B579A"/>
          <w:shd w:val="clear" w:color="auto" w:fill="E6E6E6"/>
        </w:rPr>
        <w:fldChar w:fldCharType="separate"/>
      </w:r>
      <w:r w:rsidR="0062374A">
        <w:t>Table B.</w:t>
      </w:r>
      <w:r w:rsidR="0062374A">
        <w:rPr>
          <w:noProof/>
        </w:rPr>
        <w:t>1</w:t>
      </w:r>
      <w:r w:rsidR="00020B79">
        <w:rPr>
          <w:color w:val="2B579A"/>
          <w:shd w:val="clear" w:color="auto" w:fill="E6E6E6"/>
        </w:rPr>
        <w:fldChar w:fldCharType="end"/>
      </w:r>
      <w:r w:rsidR="00020B79">
        <w:t>.</w:t>
      </w:r>
    </w:p>
    <w:p w14:paraId="7BD04ED1" w14:textId="787648F2" w:rsidR="00020B79" w:rsidRDefault="00020B79" w:rsidP="00400B0F">
      <w:r>
        <w:t>No</w:t>
      </w:r>
      <w:r w:rsidR="00E435D2">
        <w:t xml:space="preserve"> </w:t>
      </w:r>
      <w:r w:rsidR="008E3B3B">
        <w:t xml:space="preserve">diffusion tube </w:t>
      </w:r>
      <w:r w:rsidR="00E435D2">
        <w:t>NO</w:t>
      </w:r>
      <w:r w:rsidR="00E435D2">
        <w:rPr>
          <w:vertAlign w:val="subscript"/>
        </w:rPr>
        <w:t>2</w:t>
      </w:r>
      <w:r>
        <w:t xml:space="preserve"> </w:t>
      </w:r>
      <w:r w:rsidRPr="00B05D04">
        <w:t xml:space="preserve">monitoring locations </w:t>
      </w:r>
      <w:r>
        <w:t>withi</w:t>
      </w:r>
      <w:r w:rsidR="00E6744B">
        <w:t>n South Tyneside Council</w:t>
      </w:r>
      <w:r w:rsidRPr="00FD4F8B">
        <w:rPr>
          <w:color w:val="FF0000"/>
        </w:rPr>
        <w:t xml:space="preserve"> </w:t>
      </w:r>
      <w:r>
        <w:t>required distance correction durin</w:t>
      </w:r>
      <w:r w:rsidR="00E6744B">
        <w:t>g 2020</w:t>
      </w:r>
    </w:p>
    <w:p w14:paraId="6AA2D620" w14:textId="77777777" w:rsidR="007948F0" w:rsidRDefault="007948F0" w:rsidP="0062374A">
      <w:pPr>
        <w:pStyle w:val="Heading2"/>
      </w:pPr>
      <w:bookmarkStart w:id="118" w:name="_Toc75438396"/>
      <w:r>
        <w:t>QA/QC of Automatic Monitoring</w:t>
      </w:r>
      <w:bookmarkEnd w:id="118"/>
    </w:p>
    <w:p w14:paraId="7931E6C3" w14:textId="77777777" w:rsidR="00B71341" w:rsidRDefault="00B71341" w:rsidP="00B71341">
      <w:pPr>
        <w:jc w:val="both"/>
      </w:pPr>
      <w:r>
        <w:t>The QA/QC procedures of South Tyneside Council are based on the AUN Site Operator’s manual along with training received from our original equipment suppliers, Casella Group.</w:t>
      </w:r>
    </w:p>
    <w:p w14:paraId="56470935" w14:textId="77777777" w:rsidR="00B71341" w:rsidRDefault="00B71341" w:rsidP="00B71341">
      <w:pPr>
        <w:pStyle w:val="Default"/>
        <w:spacing w:line="360" w:lineRule="auto"/>
        <w:jc w:val="both"/>
        <w:rPr>
          <w:lang w:val="en-GB"/>
        </w:rPr>
      </w:pPr>
      <w:r>
        <w:rPr>
          <w:lang w:val="en-GB"/>
        </w:rPr>
        <w:t xml:space="preserve">Maintenance / Calibration of equipment: </w:t>
      </w:r>
    </w:p>
    <w:p w14:paraId="7E3924D8" w14:textId="77777777" w:rsidR="00B71341" w:rsidRDefault="00B71341" w:rsidP="00646558">
      <w:pPr>
        <w:pStyle w:val="Default"/>
        <w:numPr>
          <w:ilvl w:val="0"/>
          <w:numId w:val="23"/>
        </w:numPr>
        <w:spacing w:after="174" w:line="360" w:lineRule="auto"/>
        <w:jc w:val="both"/>
        <w:rPr>
          <w:lang w:val="en-GB"/>
        </w:rPr>
      </w:pPr>
      <w:r>
        <w:rPr>
          <w:lang w:val="en-GB"/>
        </w:rPr>
        <w:t xml:space="preserve">A qualified engineer services automatic analysers every 6 months under a contracted service agreement. The analysers are calibrated during service visits. </w:t>
      </w:r>
    </w:p>
    <w:p w14:paraId="71477691" w14:textId="77777777" w:rsidR="00B71341" w:rsidRDefault="00B71341" w:rsidP="00646558">
      <w:pPr>
        <w:pStyle w:val="Default"/>
        <w:numPr>
          <w:ilvl w:val="0"/>
          <w:numId w:val="23"/>
        </w:numPr>
        <w:spacing w:after="174" w:line="360" w:lineRule="auto"/>
        <w:jc w:val="both"/>
        <w:rPr>
          <w:lang w:val="en-GB"/>
        </w:rPr>
      </w:pPr>
      <w:r>
        <w:rPr>
          <w:lang w:val="en-GB"/>
        </w:rPr>
        <w:t xml:space="preserve">Matt’s Monitors Ltd are under contract to maintain the stations, staff visit each monitoring station at least once every 4 weeks to ensure all of the equipment is working within normal parameters and to conduct zero and span checks of the equipment. The filters at each site are changed during these visits. </w:t>
      </w:r>
    </w:p>
    <w:p w14:paraId="5D9C7B81" w14:textId="77777777" w:rsidR="00B71341" w:rsidRDefault="00B71341" w:rsidP="00646558">
      <w:pPr>
        <w:pStyle w:val="Default"/>
        <w:numPr>
          <w:ilvl w:val="0"/>
          <w:numId w:val="23"/>
        </w:numPr>
        <w:spacing w:line="360" w:lineRule="auto"/>
        <w:jc w:val="both"/>
        <w:rPr>
          <w:lang w:val="en-GB"/>
        </w:rPr>
      </w:pPr>
      <w:r>
        <w:rPr>
          <w:lang w:val="en-GB"/>
        </w:rPr>
        <w:t xml:space="preserve">If a problem is noted with any of the stations, a call-out is initiated and a service engineer will visit the site within 2 days to correct the fault. </w:t>
      </w:r>
    </w:p>
    <w:p w14:paraId="7E0C64A5" w14:textId="453C517F" w:rsidR="00E435D2" w:rsidRPr="00E435D2" w:rsidRDefault="00E435D2" w:rsidP="00400B0F">
      <w:pPr>
        <w:pStyle w:val="Heading3"/>
        <w:numPr>
          <w:ilvl w:val="0"/>
          <w:numId w:val="0"/>
        </w:numPr>
        <w:ind w:left="720" w:hanging="720"/>
      </w:pPr>
      <w:bookmarkStart w:id="119" w:name="_Toc75438397"/>
      <w:r>
        <w:t>PM</w:t>
      </w:r>
      <w:r w:rsidRPr="00E435D2">
        <w:rPr>
          <w:vertAlign w:val="subscript"/>
        </w:rPr>
        <w:t>10</w:t>
      </w:r>
      <w:r>
        <w:t xml:space="preserve"> and PM</w:t>
      </w:r>
      <w:r w:rsidRPr="00E435D2">
        <w:rPr>
          <w:vertAlign w:val="subscript"/>
        </w:rPr>
        <w:t xml:space="preserve">2.5 </w:t>
      </w:r>
      <w:r>
        <w:t>Monitoring Adjustment</w:t>
      </w:r>
      <w:bookmarkEnd w:id="119"/>
    </w:p>
    <w:p w14:paraId="1577B3E5" w14:textId="73A03A8C" w:rsidR="008C46A8" w:rsidRDefault="008C46A8" w:rsidP="00400B0F">
      <w:r>
        <w:t xml:space="preserve">The type </w:t>
      </w:r>
      <w:r w:rsidRPr="00EB3B10">
        <w:t xml:space="preserve">of </w:t>
      </w:r>
      <w:r w:rsidR="00EB3B10" w:rsidRPr="00EB3B10">
        <w:t xml:space="preserve">PM10 </w:t>
      </w:r>
      <w:r w:rsidRPr="00EB3B10">
        <w:t>monitor(s</w:t>
      </w:r>
      <w:r>
        <w:t>) utilised withi</w:t>
      </w:r>
      <w:r w:rsidR="00EB3B10">
        <w:t>n South Tyneside Council</w:t>
      </w:r>
      <w:r w:rsidRPr="008C46A8">
        <w:t xml:space="preserve"> do not required the application of a correction factor.</w:t>
      </w:r>
    </w:p>
    <w:p w14:paraId="3F633D52" w14:textId="6172C2A5" w:rsidR="008E3B3B" w:rsidRDefault="008E3B3B" w:rsidP="008E3B3B">
      <w:pPr>
        <w:pStyle w:val="Heading3"/>
        <w:numPr>
          <w:ilvl w:val="0"/>
          <w:numId w:val="0"/>
        </w:numPr>
        <w:ind w:left="720" w:hanging="720"/>
      </w:pPr>
      <w:bookmarkStart w:id="120" w:name="_Toc75438398"/>
      <w:r>
        <w:t>Automatic Monitoring Annualisation</w:t>
      </w:r>
      <w:bookmarkEnd w:id="120"/>
    </w:p>
    <w:p w14:paraId="0F2D872B" w14:textId="17B43B7A" w:rsidR="000621C7" w:rsidRDefault="000621C7" w:rsidP="00400B0F">
      <w:r w:rsidRPr="00B05D04">
        <w:t xml:space="preserve">All </w:t>
      </w:r>
      <w:r w:rsidR="00E435D2">
        <w:t xml:space="preserve">automatic </w:t>
      </w:r>
      <w:r w:rsidRPr="00B05D04">
        <w:t xml:space="preserve">monitoring locations </w:t>
      </w:r>
      <w:r>
        <w:t>within</w:t>
      </w:r>
      <w:r w:rsidR="00FF5609">
        <w:t xml:space="preserve"> South Tyneside Council </w:t>
      </w:r>
      <w:r w:rsidRPr="00B05D04">
        <w:t xml:space="preserve">recorded data capture of </w:t>
      </w:r>
      <w:r w:rsidR="00B967EC">
        <w:t xml:space="preserve">greater than </w:t>
      </w:r>
      <w:r w:rsidRPr="00B05D04">
        <w:t>75% therefore it was not required to annualise any monitoring data.</w:t>
      </w:r>
      <w:r>
        <w:t xml:space="preserve"> In addition, any sites with a data capture below 33% do not require annualisation.</w:t>
      </w:r>
    </w:p>
    <w:p w14:paraId="7AEBFC51" w14:textId="77777777" w:rsidR="008E3B3B" w:rsidRPr="00B05D04" w:rsidRDefault="008E3B3B" w:rsidP="008E3B3B">
      <w:pPr>
        <w:pStyle w:val="Heading3"/>
        <w:numPr>
          <w:ilvl w:val="0"/>
          <w:numId w:val="0"/>
        </w:numPr>
        <w:ind w:left="720" w:hanging="720"/>
      </w:pPr>
      <w:bookmarkStart w:id="121" w:name="_Toc75438399"/>
      <w:r>
        <w:t>NO</w:t>
      </w:r>
      <w:r>
        <w:rPr>
          <w:vertAlign w:val="subscript"/>
        </w:rPr>
        <w:t>2</w:t>
      </w:r>
      <w:r>
        <w:t xml:space="preserve"> Fall-off with Distance from the Road</w:t>
      </w:r>
      <w:bookmarkEnd w:id="121"/>
    </w:p>
    <w:p w14:paraId="4A3BB0C0" w14:textId="02F6AC12" w:rsidR="008E3B3B" w:rsidRPr="00020B79" w:rsidRDefault="008E3B3B" w:rsidP="008E3B3B">
      <w:r w:rsidRPr="00B05D04">
        <w:t>Wherever possible, local authorities should ensure that monitoring locations are representative of exposure. However, where this is not possible, the NO</w:t>
      </w:r>
      <w:r w:rsidRPr="00B05D04">
        <w:rPr>
          <w:vertAlign w:val="subscript"/>
        </w:rPr>
        <w:t>2</w:t>
      </w:r>
      <w:r w:rsidRPr="00B05D04">
        <w:t xml:space="preserve"> concentration at the nearest location relevant for exposure should be estimated using the </w:t>
      </w:r>
      <w:r>
        <w:t>NO</w:t>
      </w:r>
      <w:r w:rsidRPr="0A317583">
        <w:rPr>
          <w:vertAlign w:val="subscript"/>
        </w:rPr>
        <w:t>2</w:t>
      </w:r>
      <w:r>
        <w:t xml:space="preserve"> fall-off with distance calculator</w:t>
      </w:r>
      <w:r w:rsidRPr="00B05D04">
        <w:t xml:space="preserve"> available on the LAQM Support website.</w:t>
      </w:r>
      <w:r>
        <w:t xml:space="preserve"> Where appropriate, non-automatic annual mean NO</w:t>
      </w:r>
      <w:r>
        <w:rPr>
          <w:vertAlign w:val="subscript"/>
        </w:rPr>
        <w:t>2</w:t>
      </w:r>
      <w:r>
        <w:t xml:space="preserve"> concentrations corrected for distance are presented in </w:t>
      </w:r>
      <w:r>
        <w:rPr>
          <w:color w:val="2B579A"/>
          <w:shd w:val="clear" w:color="auto" w:fill="E6E6E6"/>
        </w:rPr>
        <w:fldChar w:fldCharType="begin"/>
      </w:r>
      <w:r>
        <w:instrText xml:space="preserve"> REF _Ref55286624 \h  \* MERGEFORMAT </w:instrText>
      </w:r>
      <w:r>
        <w:rPr>
          <w:color w:val="2B579A"/>
          <w:shd w:val="clear" w:color="auto" w:fill="E6E6E6"/>
        </w:rPr>
      </w:r>
      <w:r>
        <w:rPr>
          <w:color w:val="2B579A"/>
          <w:shd w:val="clear" w:color="auto" w:fill="E6E6E6"/>
        </w:rPr>
        <w:fldChar w:fldCharType="separate"/>
      </w:r>
      <w:r w:rsidR="0062374A">
        <w:t>Table B.</w:t>
      </w:r>
      <w:r w:rsidR="0062374A">
        <w:rPr>
          <w:noProof/>
        </w:rPr>
        <w:t>1</w:t>
      </w:r>
      <w:r>
        <w:rPr>
          <w:color w:val="2B579A"/>
          <w:shd w:val="clear" w:color="auto" w:fill="E6E6E6"/>
        </w:rPr>
        <w:fldChar w:fldCharType="end"/>
      </w:r>
      <w:r>
        <w:t>.</w:t>
      </w:r>
    </w:p>
    <w:p w14:paraId="005C8175" w14:textId="0B45D458" w:rsidR="00100B0B" w:rsidRDefault="008E3B3B" w:rsidP="008E3B3B">
      <w:r>
        <w:t>No automatic NO</w:t>
      </w:r>
      <w:r>
        <w:rPr>
          <w:vertAlign w:val="subscript"/>
        </w:rPr>
        <w:t>2</w:t>
      </w:r>
      <w:r>
        <w:t xml:space="preserve"> </w:t>
      </w:r>
      <w:r w:rsidRPr="00B05D04">
        <w:t xml:space="preserve">monitoring locations </w:t>
      </w:r>
      <w:r>
        <w:t>within</w:t>
      </w:r>
      <w:r w:rsidR="003C020F">
        <w:t xml:space="preserve"> South Tyneside Council </w:t>
      </w:r>
      <w:r>
        <w:t>required distance correction during</w:t>
      </w:r>
      <w:r w:rsidR="003C020F">
        <w:t xml:space="preserve"> 2020.</w:t>
      </w:r>
    </w:p>
    <w:p w14:paraId="2E11FC18" w14:textId="77777777" w:rsidR="0097313B" w:rsidRDefault="0097313B" w:rsidP="00400B0F"/>
    <w:p w14:paraId="0300E4F0" w14:textId="77777777" w:rsidR="0097313B" w:rsidRDefault="0097313B" w:rsidP="00400B0F">
      <w:pPr>
        <w:sectPr w:rsidR="0097313B" w:rsidSect="003172A5">
          <w:footerReference w:type="default" r:id="rId53"/>
          <w:footerReference w:type="first" r:id="rId54"/>
          <w:pgSz w:w="11899" w:h="16838" w:code="9"/>
          <w:pgMar w:top="1134" w:right="1134" w:bottom="1134" w:left="1134" w:header="340" w:footer="340" w:gutter="0"/>
          <w:cols w:space="708"/>
          <w:docGrid w:linePitch="326"/>
        </w:sectPr>
      </w:pPr>
    </w:p>
    <w:p w14:paraId="3B184A0E" w14:textId="6043F8C8" w:rsidR="00B14B97" w:rsidRDefault="00B14B97" w:rsidP="00400B0F">
      <w:pPr>
        <w:pStyle w:val="Caption"/>
      </w:pPr>
      <w:bookmarkStart w:id="122" w:name="_Appendix_D:_Map(s)"/>
      <w:bookmarkStart w:id="123" w:name="_Ref63278960"/>
      <w:bookmarkStart w:id="124" w:name="_Ref63331725"/>
      <w:bookmarkStart w:id="125" w:name="_Toc75438464"/>
      <w:bookmarkEnd w:id="122"/>
      <w:r>
        <w:t>Table C.</w:t>
      </w:r>
      <w:r w:rsidR="004813E8">
        <w:rPr>
          <w:color w:val="2B579A"/>
          <w:shd w:val="clear" w:color="auto" w:fill="E6E6E6"/>
        </w:rPr>
        <w:fldChar w:fldCharType="begin"/>
      </w:r>
      <w:r w:rsidR="004813E8">
        <w:rPr>
          <w:noProof/>
        </w:rPr>
        <w:instrText xml:space="preserve"> SEQ Table_C \* ARABIC </w:instrText>
      </w:r>
      <w:r w:rsidR="004813E8">
        <w:rPr>
          <w:color w:val="2B579A"/>
          <w:shd w:val="clear" w:color="auto" w:fill="E6E6E6"/>
        </w:rPr>
        <w:fldChar w:fldCharType="separate"/>
      </w:r>
      <w:r w:rsidR="0062374A">
        <w:rPr>
          <w:noProof/>
        </w:rPr>
        <w:t>2</w:t>
      </w:r>
      <w:r w:rsidR="004813E8">
        <w:rPr>
          <w:color w:val="2B579A"/>
          <w:shd w:val="clear" w:color="auto" w:fill="E6E6E6"/>
        </w:rPr>
        <w:fldChar w:fldCharType="end"/>
      </w:r>
      <w:bookmarkEnd w:id="123"/>
      <w:bookmarkEnd w:id="124"/>
      <w:r>
        <w:t xml:space="preserve"> – Annualisation Summary (</w:t>
      </w:r>
      <w:r w:rsidR="00FB5722">
        <w:t xml:space="preserve">concentrations presented in </w:t>
      </w:r>
      <w:r>
        <w:rPr>
          <w:rFonts w:cs="Arial"/>
        </w:rPr>
        <w:t>µ</w:t>
      </w:r>
      <w:r>
        <w:t>g/m</w:t>
      </w:r>
      <w:r>
        <w:rPr>
          <w:vertAlign w:val="superscript"/>
        </w:rPr>
        <w:t>3</w:t>
      </w:r>
      <w:r>
        <w:t>)</w:t>
      </w:r>
      <w:bookmarkEnd w:id="125"/>
    </w:p>
    <w:tbl>
      <w:tblPr>
        <w:tblStyle w:val="TableStyle4"/>
        <w:tblW w:w="0" w:type="auto"/>
        <w:tblLayout w:type="fixed"/>
        <w:tblLook w:val="04A0" w:firstRow="1" w:lastRow="0" w:firstColumn="1" w:lastColumn="0" w:noHBand="0" w:noVBand="1"/>
      </w:tblPr>
      <w:tblGrid>
        <w:gridCol w:w="902"/>
        <w:gridCol w:w="1882"/>
        <w:gridCol w:w="1882"/>
        <w:gridCol w:w="1992"/>
        <w:gridCol w:w="1842"/>
        <w:gridCol w:w="1985"/>
        <w:gridCol w:w="1688"/>
        <w:gridCol w:w="1752"/>
      </w:tblGrid>
      <w:tr w:rsidR="00B4328A" w:rsidRPr="008142E3" w14:paraId="4F7AE573" w14:textId="77777777" w:rsidTr="00D20B71">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902" w:type="dxa"/>
          </w:tcPr>
          <w:p w14:paraId="0177757C" w14:textId="77777777" w:rsidR="00B4328A" w:rsidRPr="008142E3" w:rsidRDefault="00B4328A" w:rsidP="003A10E7">
            <w:pPr>
              <w:spacing w:line="240" w:lineRule="auto"/>
              <w:rPr>
                <w:rFonts w:ascii="Arial" w:hAnsi="Arial" w:cs="Arial"/>
                <w:sz w:val="20"/>
                <w:szCs w:val="20"/>
              </w:rPr>
            </w:pPr>
            <w:r>
              <w:rPr>
                <w:rFonts w:ascii="Arial" w:hAnsi="Arial" w:cs="Arial"/>
                <w:sz w:val="20"/>
                <w:szCs w:val="20"/>
              </w:rPr>
              <w:t>Site ID</w:t>
            </w:r>
          </w:p>
        </w:tc>
        <w:tc>
          <w:tcPr>
            <w:tcW w:w="1882" w:type="dxa"/>
          </w:tcPr>
          <w:p w14:paraId="5EE2B631" w14:textId="04D62E9F" w:rsidR="00B4328A" w:rsidRPr="00892D20" w:rsidRDefault="00B4328A"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F2F2F2" w:themeColor="background1" w:themeShade="F2"/>
                <w:sz w:val="20"/>
                <w:szCs w:val="20"/>
              </w:rPr>
            </w:pPr>
            <w:r w:rsidRPr="00892D20">
              <w:rPr>
                <w:rFonts w:ascii="Arial" w:hAnsi="Arial" w:cs="Arial"/>
                <w:color w:val="F2F2F2" w:themeColor="background1" w:themeShade="F2"/>
                <w:sz w:val="20"/>
                <w:szCs w:val="20"/>
              </w:rPr>
              <w:t>Annualisation Factor Silksworth</w:t>
            </w:r>
          </w:p>
        </w:tc>
        <w:tc>
          <w:tcPr>
            <w:tcW w:w="1882" w:type="dxa"/>
          </w:tcPr>
          <w:p w14:paraId="3A744CB8" w14:textId="487A1FD9" w:rsidR="00B4328A" w:rsidRPr="00892D20" w:rsidRDefault="00B4328A"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F2F2F2" w:themeColor="background1" w:themeShade="F2"/>
                <w:sz w:val="20"/>
                <w:szCs w:val="20"/>
              </w:rPr>
            </w:pPr>
            <w:r w:rsidRPr="00892D20">
              <w:rPr>
                <w:rFonts w:ascii="Arial" w:hAnsi="Arial" w:cs="Arial"/>
                <w:color w:val="F2F2F2" w:themeColor="background1" w:themeShade="F2"/>
                <w:sz w:val="20"/>
                <w:szCs w:val="20"/>
              </w:rPr>
              <w:t>Annualisation Factor Sunderland Wessington Way</w:t>
            </w:r>
          </w:p>
        </w:tc>
        <w:tc>
          <w:tcPr>
            <w:tcW w:w="1992" w:type="dxa"/>
          </w:tcPr>
          <w:p w14:paraId="1AB008C3" w14:textId="10F4282A" w:rsidR="00B4328A" w:rsidRPr="00892D20" w:rsidRDefault="00B4328A"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color w:val="F2F2F2" w:themeColor="background1" w:themeShade="F2"/>
                <w:sz w:val="20"/>
                <w:szCs w:val="20"/>
              </w:rPr>
            </w:pPr>
            <w:r w:rsidRPr="00892D20">
              <w:rPr>
                <w:rFonts w:ascii="Arial" w:hAnsi="Arial" w:cs="Arial"/>
                <w:color w:val="F2F2F2" w:themeColor="background1" w:themeShade="F2"/>
                <w:sz w:val="20"/>
                <w:szCs w:val="20"/>
              </w:rPr>
              <w:t>Annualisation Factor Newcastle Centre</w:t>
            </w:r>
          </w:p>
        </w:tc>
        <w:tc>
          <w:tcPr>
            <w:tcW w:w="1842" w:type="dxa"/>
          </w:tcPr>
          <w:p w14:paraId="6E4CD31D" w14:textId="78791A8F" w:rsidR="00B4328A" w:rsidRPr="00892D20" w:rsidRDefault="00B4328A"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color w:val="F2F2F2" w:themeColor="background1" w:themeShade="F2"/>
                <w:sz w:val="20"/>
                <w:szCs w:val="20"/>
              </w:rPr>
            </w:pPr>
            <w:r w:rsidRPr="00892D20">
              <w:rPr>
                <w:rFonts w:ascii="Arial" w:hAnsi="Arial" w:cs="Arial"/>
                <w:color w:val="F2F2F2" w:themeColor="background1" w:themeShade="F2"/>
                <w:sz w:val="20"/>
                <w:szCs w:val="20"/>
              </w:rPr>
              <w:t>Annualisation Factor Newcastle Cradlewell</w:t>
            </w:r>
          </w:p>
        </w:tc>
        <w:tc>
          <w:tcPr>
            <w:tcW w:w="1985" w:type="dxa"/>
          </w:tcPr>
          <w:p w14:paraId="144BFB2B" w14:textId="5DF66FAC" w:rsidR="00B4328A" w:rsidRPr="0097313B" w:rsidRDefault="00B4328A"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Average Annualisation Factor</w:t>
            </w:r>
          </w:p>
        </w:tc>
        <w:tc>
          <w:tcPr>
            <w:tcW w:w="1688" w:type="dxa"/>
          </w:tcPr>
          <w:p w14:paraId="41EF6F5F" w14:textId="30239D67" w:rsidR="00B4328A" w:rsidRPr="0097313B" w:rsidRDefault="00B4328A"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Raw Data Annual Mean</w:t>
            </w:r>
          </w:p>
        </w:tc>
        <w:tc>
          <w:tcPr>
            <w:tcW w:w="1752" w:type="dxa"/>
          </w:tcPr>
          <w:p w14:paraId="199065AF" w14:textId="3B861E30" w:rsidR="00B4328A" w:rsidRPr="0097313B" w:rsidRDefault="00B4328A"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Annualised Annual Mean</w:t>
            </w:r>
          </w:p>
        </w:tc>
      </w:tr>
    </w:tbl>
    <w:tbl>
      <w:tblPr>
        <w:tblW w:w="13926" w:type="dxa"/>
        <w:tblLook w:val="04A0" w:firstRow="1" w:lastRow="0" w:firstColumn="1" w:lastColumn="0" w:noHBand="0" w:noVBand="1"/>
      </w:tblPr>
      <w:tblGrid>
        <w:gridCol w:w="867"/>
        <w:gridCol w:w="1915"/>
        <w:gridCol w:w="1916"/>
        <w:gridCol w:w="1915"/>
        <w:gridCol w:w="1915"/>
        <w:gridCol w:w="1915"/>
        <w:gridCol w:w="1742"/>
        <w:gridCol w:w="1741"/>
      </w:tblGrid>
      <w:tr w:rsidR="00B4328A" w:rsidRPr="00892D20" w14:paraId="74ED2D62" w14:textId="29932007"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0044B7B9" w14:textId="77777777" w:rsidR="00B4328A" w:rsidRPr="00892D20" w:rsidRDefault="00B4328A" w:rsidP="00B4328A">
            <w:pPr>
              <w:spacing w:before="0" w:after="0" w:line="240" w:lineRule="auto"/>
              <w:jc w:val="center"/>
              <w:rPr>
                <w:rFonts w:eastAsia="Times New Roman" w:cs="Arial"/>
                <w:color w:val="000000"/>
                <w:sz w:val="20"/>
                <w:szCs w:val="20"/>
                <w:lang w:eastAsia="en-GB"/>
              </w:rPr>
            </w:pPr>
            <w:bookmarkStart w:id="126" w:name="_Ref63927811"/>
            <w:bookmarkStart w:id="127" w:name="_Ref63280568"/>
            <w:r w:rsidRPr="00892D20">
              <w:rPr>
                <w:rFonts w:eastAsia="Times New Roman" w:cs="Arial"/>
                <w:color w:val="000000"/>
                <w:sz w:val="20"/>
                <w:szCs w:val="20"/>
                <w:lang w:eastAsia="en-GB"/>
              </w:rPr>
              <w:t>DT3</w:t>
            </w:r>
          </w:p>
        </w:tc>
        <w:tc>
          <w:tcPr>
            <w:tcW w:w="1915" w:type="dxa"/>
            <w:tcBorders>
              <w:top w:val="nil"/>
              <w:left w:val="nil"/>
              <w:bottom w:val="single" w:sz="4" w:space="0" w:color="920000"/>
              <w:right w:val="single" w:sz="4" w:space="0" w:color="920000"/>
            </w:tcBorders>
            <w:shd w:val="clear" w:color="auto" w:fill="auto"/>
            <w:noWrap/>
            <w:vAlign w:val="center"/>
            <w:hideMark/>
          </w:tcPr>
          <w:p w14:paraId="6748DC11"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712F6A4A"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0.8099</w:t>
            </w:r>
          </w:p>
        </w:tc>
        <w:tc>
          <w:tcPr>
            <w:tcW w:w="1915" w:type="dxa"/>
            <w:tcBorders>
              <w:top w:val="nil"/>
              <w:left w:val="nil"/>
              <w:bottom w:val="single" w:sz="4" w:space="0" w:color="920000"/>
              <w:right w:val="single" w:sz="4" w:space="0" w:color="920000"/>
            </w:tcBorders>
            <w:shd w:val="clear" w:color="auto" w:fill="auto"/>
            <w:noWrap/>
            <w:vAlign w:val="center"/>
            <w:hideMark/>
          </w:tcPr>
          <w:p w14:paraId="430D999C"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0.8871</w:t>
            </w:r>
          </w:p>
        </w:tc>
        <w:tc>
          <w:tcPr>
            <w:tcW w:w="1915" w:type="dxa"/>
            <w:tcBorders>
              <w:top w:val="nil"/>
              <w:left w:val="nil"/>
              <w:bottom w:val="single" w:sz="4" w:space="0" w:color="920000"/>
              <w:right w:val="single" w:sz="4" w:space="0" w:color="920000"/>
            </w:tcBorders>
            <w:shd w:val="clear" w:color="auto" w:fill="auto"/>
            <w:noWrap/>
            <w:vAlign w:val="center"/>
            <w:hideMark/>
          </w:tcPr>
          <w:p w14:paraId="7BCAD1E8"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0.8915</w:t>
            </w:r>
          </w:p>
        </w:tc>
        <w:tc>
          <w:tcPr>
            <w:tcW w:w="1915" w:type="dxa"/>
            <w:tcBorders>
              <w:top w:val="nil"/>
              <w:left w:val="nil"/>
              <w:bottom w:val="single" w:sz="4" w:space="0" w:color="920000"/>
              <w:right w:val="nil"/>
            </w:tcBorders>
            <w:shd w:val="clear" w:color="auto" w:fill="auto"/>
            <w:noWrap/>
            <w:vAlign w:val="center"/>
            <w:hideMark/>
          </w:tcPr>
          <w:p w14:paraId="2EE3A220"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0.8628</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6DCF6E61"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18.4</w:t>
            </w:r>
          </w:p>
        </w:tc>
        <w:tc>
          <w:tcPr>
            <w:tcW w:w="1741" w:type="dxa"/>
            <w:tcBorders>
              <w:top w:val="nil"/>
              <w:left w:val="nil"/>
              <w:bottom w:val="single" w:sz="4" w:space="0" w:color="920000"/>
              <w:right w:val="single" w:sz="4" w:space="0" w:color="920000"/>
            </w:tcBorders>
            <w:shd w:val="clear" w:color="auto" w:fill="auto"/>
            <w:noWrap/>
            <w:vAlign w:val="center"/>
            <w:hideMark/>
          </w:tcPr>
          <w:p w14:paraId="49CA6763"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15.9</w:t>
            </w:r>
          </w:p>
        </w:tc>
      </w:tr>
      <w:tr w:rsidR="00B4328A" w:rsidRPr="00892D20" w14:paraId="6E7C94E6" w14:textId="2219EC3E"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49F3026F"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DT7</w:t>
            </w:r>
          </w:p>
        </w:tc>
        <w:tc>
          <w:tcPr>
            <w:tcW w:w="1915" w:type="dxa"/>
            <w:tcBorders>
              <w:top w:val="nil"/>
              <w:left w:val="nil"/>
              <w:bottom w:val="single" w:sz="4" w:space="0" w:color="920000"/>
              <w:right w:val="single" w:sz="4" w:space="0" w:color="920000"/>
            </w:tcBorders>
            <w:shd w:val="clear" w:color="auto" w:fill="auto"/>
            <w:noWrap/>
            <w:vAlign w:val="center"/>
            <w:hideMark/>
          </w:tcPr>
          <w:p w14:paraId="0AB143A7"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4D7D23A7"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0.9295</w:t>
            </w:r>
          </w:p>
        </w:tc>
        <w:tc>
          <w:tcPr>
            <w:tcW w:w="1915" w:type="dxa"/>
            <w:tcBorders>
              <w:top w:val="nil"/>
              <w:left w:val="nil"/>
              <w:bottom w:val="single" w:sz="4" w:space="0" w:color="920000"/>
              <w:right w:val="single" w:sz="4" w:space="0" w:color="920000"/>
            </w:tcBorders>
            <w:shd w:val="clear" w:color="auto" w:fill="auto"/>
            <w:noWrap/>
            <w:vAlign w:val="center"/>
            <w:hideMark/>
          </w:tcPr>
          <w:p w14:paraId="54CD8A2B"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0.9561</w:t>
            </w:r>
          </w:p>
        </w:tc>
        <w:tc>
          <w:tcPr>
            <w:tcW w:w="1915" w:type="dxa"/>
            <w:tcBorders>
              <w:top w:val="nil"/>
              <w:left w:val="nil"/>
              <w:bottom w:val="single" w:sz="4" w:space="0" w:color="920000"/>
              <w:right w:val="single" w:sz="4" w:space="0" w:color="920000"/>
            </w:tcBorders>
            <w:shd w:val="clear" w:color="auto" w:fill="auto"/>
            <w:noWrap/>
            <w:vAlign w:val="center"/>
            <w:hideMark/>
          </w:tcPr>
          <w:p w14:paraId="6C3A7EEB"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0.9463</w:t>
            </w:r>
          </w:p>
        </w:tc>
        <w:tc>
          <w:tcPr>
            <w:tcW w:w="1915" w:type="dxa"/>
            <w:tcBorders>
              <w:top w:val="nil"/>
              <w:left w:val="nil"/>
              <w:bottom w:val="single" w:sz="4" w:space="0" w:color="920000"/>
              <w:right w:val="nil"/>
            </w:tcBorders>
            <w:shd w:val="clear" w:color="auto" w:fill="auto"/>
            <w:noWrap/>
            <w:vAlign w:val="center"/>
            <w:hideMark/>
          </w:tcPr>
          <w:p w14:paraId="1B23DB69"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0.9440</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49A4FD1F"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21.8</w:t>
            </w:r>
          </w:p>
        </w:tc>
        <w:tc>
          <w:tcPr>
            <w:tcW w:w="1741" w:type="dxa"/>
            <w:tcBorders>
              <w:top w:val="nil"/>
              <w:left w:val="nil"/>
              <w:bottom w:val="single" w:sz="4" w:space="0" w:color="920000"/>
              <w:right w:val="single" w:sz="4" w:space="0" w:color="920000"/>
            </w:tcBorders>
            <w:shd w:val="clear" w:color="auto" w:fill="auto"/>
            <w:noWrap/>
            <w:vAlign w:val="center"/>
            <w:hideMark/>
          </w:tcPr>
          <w:p w14:paraId="598F6E05"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20.6</w:t>
            </w:r>
          </w:p>
        </w:tc>
      </w:tr>
      <w:tr w:rsidR="00B4328A" w:rsidRPr="00892D20" w14:paraId="3D2EFA5B" w14:textId="1566EE09"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3C6928A7"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DT9</w:t>
            </w:r>
          </w:p>
        </w:tc>
        <w:tc>
          <w:tcPr>
            <w:tcW w:w="1915" w:type="dxa"/>
            <w:tcBorders>
              <w:top w:val="nil"/>
              <w:left w:val="nil"/>
              <w:bottom w:val="single" w:sz="4" w:space="0" w:color="920000"/>
              <w:right w:val="single" w:sz="4" w:space="0" w:color="920000"/>
            </w:tcBorders>
            <w:shd w:val="clear" w:color="auto" w:fill="auto"/>
            <w:noWrap/>
            <w:vAlign w:val="center"/>
            <w:hideMark/>
          </w:tcPr>
          <w:p w14:paraId="29495421"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7D2D3812"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0.7605</w:t>
            </w:r>
          </w:p>
        </w:tc>
        <w:tc>
          <w:tcPr>
            <w:tcW w:w="1915" w:type="dxa"/>
            <w:tcBorders>
              <w:top w:val="nil"/>
              <w:left w:val="nil"/>
              <w:bottom w:val="single" w:sz="4" w:space="0" w:color="920000"/>
              <w:right w:val="single" w:sz="4" w:space="0" w:color="920000"/>
            </w:tcBorders>
            <w:shd w:val="clear" w:color="auto" w:fill="auto"/>
            <w:noWrap/>
            <w:vAlign w:val="center"/>
            <w:hideMark/>
          </w:tcPr>
          <w:p w14:paraId="4ACD12AF"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0.8507</w:t>
            </w:r>
          </w:p>
        </w:tc>
        <w:tc>
          <w:tcPr>
            <w:tcW w:w="1915" w:type="dxa"/>
            <w:tcBorders>
              <w:top w:val="nil"/>
              <w:left w:val="nil"/>
              <w:bottom w:val="single" w:sz="4" w:space="0" w:color="920000"/>
              <w:right w:val="single" w:sz="4" w:space="0" w:color="920000"/>
            </w:tcBorders>
            <w:shd w:val="clear" w:color="auto" w:fill="auto"/>
            <w:noWrap/>
            <w:vAlign w:val="center"/>
            <w:hideMark/>
          </w:tcPr>
          <w:p w14:paraId="38529F10"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0.8538</w:t>
            </w:r>
          </w:p>
        </w:tc>
        <w:tc>
          <w:tcPr>
            <w:tcW w:w="1915" w:type="dxa"/>
            <w:tcBorders>
              <w:top w:val="nil"/>
              <w:left w:val="nil"/>
              <w:bottom w:val="single" w:sz="4" w:space="0" w:color="920000"/>
              <w:right w:val="nil"/>
            </w:tcBorders>
            <w:shd w:val="clear" w:color="auto" w:fill="auto"/>
            <w:noWrap/>
            <w:vAlign w:val="center"/>
            <w:hideMark/>
          </w:tcPr>
          <w:p w14:paraId="54ACFA55"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0.8217</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0B0C80B3"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18.3</w:t>
            </w:r>
          </w:p>
        </w:tc>
        <w:tc>
          <w:tcPr>
            <w:tcW w:w="1741" w:type="dxa"/>
            <w:tcBorders>
              <w:top w:val="nil"/>
              <w:left w:val="nil"/>
              <w:bottom w:val="single" w:sz="4" w:space="0" w:color="920000"/>
              <w:right w:val="single" w:sz="4" w:space="0" w:color="920000"/>
            </w:tcBorders>
            <w:shd w:val="clear" w:color="auto" w:fill="auto"/>
            <w:noWrap/>
            <w:vAlign w:val="center"/>
            <w:hideMark/>
          </w:tcPr>
          <w:p w14:paraId="79B20321"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15.0</w:t>
            </w:r>
          </w:p>
        </w:tc>
      </w:tr>
      <w:tr w:rsidR="00B4328A" w:rsidRPr="00892D20" w14:paraId="0AC2A946" w14:textId="3D47AE80"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4E474827"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DT11</w:t>
            </w:r>
          </w:p>
        </w:tc>
        <w:tc>
          <w:tcPr>
            <w:tcW w:w="1915" w:type="dxa"/>
            <w:tcBorders>
              <w:top w:val="nil"/>
              <w:left w:val="nil"/>
              <w:bottom w:val="single" w:sz="4" w:space="0" w:color="920000"/>
              <w:right w:val="single" w:sz="4" w:space="0" w:color="920000"/>
            </w:tcBorders>
            <w:shd w:val="clear" w:color="auto" w:fill="auto"/>
            <w:noWrap/>
            <w:vAlign w:val="center"/>
            <w:hideMark/>
          </w:tcPr>
          <w:p w14:paraId="1FA7EADE"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07EA134E"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0.6964</w:t>
            </w:r>
          </w:p>
        </w:tc>
        <w:tc>
          <w:tcPr>
            <w:tcW w:w="1915" w:type="dxa"/>
            <w:tcBorders>
              <w:top w:val="nil"/>
              <w:left w:val="nil"/>
              <w:bottom w:val="single" w:sz="4" w:space="0" w:color="920000"/>
              <w:right w:val="single" w:sz="4" w:space="0" w:color="920000"/>
            </w:tcBorders>
            <w:shd w:val="clear" w:color="auto" w:fill="auto"/>
            <w:noWrap/>
            <w:vAlign w:val="center"/>
            <w:hideMark/>
          </w:tcPr>
          <w:p w14:paraId="39F343D8"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0.7897</w:t>
            </w:r>
          </w:p>
        </w:tc>
        <w:tc>
          <w:tcPr>
            <w:tcW w:w="1915" w:type="dxa"/>
            <w:tcBorders>
              <w:top w:val="nil"/>
              <w:left w:val="nil"/>
              <w:bottom w:val="single" w:sz="4" w:space="0" w:color="920000"/>
              <w:right w:val="single" w:sz="4" w:space="0" w:color="920000"/>
            </w:tcBorders>
            <w:shd w:val="clear" w:color="auto" w:fill="auto"/>
            <w:noWrap/>
            <w:vAlign w:val="center"/>
            <w:hideMark/>
          </w:tcPr>
          <w:p w14:paraId="447E8B43"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0.7995</w:t>
            </w:r>
          </w:p>
        </w:tc>
        <w:tc>
          <w:tcPr>
            <w:tcW w:w="1915" w:type="dxa"/>
            <w:tcBorders>
              <w:top w:val="nil"/>
              <w:left w:val="nil"/>
              <w:bottom w:val="single" w:sz="4" w:space="0" w:color="920000"/>
              <w:right w:val="nil"/>
            </w:tcBorders>
            <w:shd w:val="clear" w:color="auto" w:fill="auto"/>
            <w:noWrap/>
            <w:vAlign w:val="center"/>
            <w:hideMark/>
          </w:tcPr>
          <w:p w14:paraId="45B1625B"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0.7619</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41170ECE"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23.5</w:t>
            </w:r>
          </w:p>
        </w:tc>
        <w:tc>
          <w:tcPr>
            <w:tcW w:w="1741" w:type="dxa"/>
            <w:tcBorders>
              <w:top w:val="nil"/>
              <w:left w:val="nil"/>
              <w:bottom w:val="single" w:sz="4" w:space="0" w:color="920000"/>
              <w:right w:val="single" w:sz="4" w:space="0" w:color="920000"/>
            </w:tcBorders>
            <w:shd w:val="clear" w:color="auto" w:fill="auto"/>
            <w:noWrap/>
            <w:vAlign w:val="center"/>
            <w:hideMark/>
          </w:tcPr>
          <w:p w14:paraId="2C9FD532"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17.9</w:t>
            </w:r>
          </w:p>
        </w:tc>
      </w:tr>
      <w:tr w:rsidR="00B4328A" w:rsidRPr="00892D20" w14:paraId="16295DB3" w14:textId="42B5266B"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68E48831"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DT12</w:t>
            </w:r>
          </w:p>
        </w:tc>
        <w:tc>
          <w:tcPr>
            <w:tcW w:w="1915" w:type="dxa"/>
            <w:tcBorders>
              <w:top w:val="nil"/>
              <w:left w:val="nil"/>
              <w:bottom w:val="single" w:sz="4" w:space="0" w:color="920000"/>
              <w:right w:val="single" w:sz="4" w:space="0" w:color="920000"/>
            </w:tcBorders>
            <w:shd w:val="clear" w:color="auto" w:fill="auto"/>
            <w:noWrap/>
            <w:vAlign w:val="center"/>
            <w:hideMark/>
          </w:tcPr>
          <w:p w14:paraId="2249AE9F"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7FBCD609"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1.0356</w:t>
            </w:r>
          </w:p>
        </w:tc>
        <w:tc>
          <w:tcPr>
            <w:tcW w:w="1915" w:type="dxa"/>
            <w:tcBorders>
              <w:top w:val="nil"/>
              <w:left w:val="nil"/>
              <w:bottom w:val="single" w:sz="4" w:space="0" w:color="920000"/>
              <w:right w:val="single" w:sz="4" w:space="0" w:color="920000"/>
            </w:tcBorders>
            <w:shd w:val="clear" w:color="auto" w:fill="auto"/>
            <w:noWrap/>
            <w:vAlign w:val="center"/>
            <w:hideMark/>
          </w:tcPr>
          <w:p w14:paraId="0A6C1407"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1.0300</w:t>
            </w:r>
          </w:p>
        </w:tc>
        <w:tc>
          <w:tcPr>
            <w:tcW w:w="1915" w:type="dxa"/>
            <w:tcBorders>
              <w:top w:val="nil"/>
              <w:left w:val="nil"/>
              <w:bottom w:val="single" w:sz="4" w:space="0" w:color="920000"/>
              <w:right w:val="single" w:sz="4" w:space="0" w:color="920000"/>
            </w:tcBorders>
            <w:shd w:val="clear" w:color="auto" w:fill="auto"/>
            <w:noWrap/>
            <w:vAlign w:val="center"/>
            <w:hideMark/>
          </w:tcPr>
          <w:p w14:paraId="6F4914A6"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1.0334</w:t>
            </w:r>
          </w:p>
        </w:tc>
        <w:tc>
          <w:tcPr>
            <w:tcW w:w="1915" w:type="dxa"/>
            <w:tcBorders>
              <w:top w:val="nil"/>
              <w:left w:val="nil"/>
              <w:bottom w:val="single" w:sz="4" w:space="0" w:color="920000"/>
              <w:right w:val="nil"/>
            </w:tcBorders>
            <w:shd w:val="clear" w:color="auto" w:fill="auto"/>
            <w:noWrap/>
            <w:vAlign w:val="center"/>
            <w:hideMark/>
          </w:tcPr>
          <w:p w14:paraId="61AA28C7"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1.0330</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57EB3987"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17.3</w:t>
            </w:r>
          </w:p>
        </w:tc>
        <w:tc>
          <w:tcPr>
            <w:tcW w:w="1741" w:type="dxa"/>
            <w:tcBorders>
              <w:top w:val="nil"/>
              <w:left w:val="nil"/>
              <w:bottom w:val="single" w:sz="4" w:space="0" w:color="920000"/>
              <w:right w:val="single" w:sz="4" w:space="0" w:color="920000"/>
            </w:tcBorders>
            <w:shd w:val="clear" w:color="auto" w:fill="auto"/>
            <w:noWrap/>
            <w:vAlign w:val="center"/>
            <w:hideMark/>
          </w:tcPr>
          <w:p w14:paraId="760AC4B5"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17.8</w:t>
            </w:r>
          </w:p>
        </w:tc>
      </w:tr>
      <w:tr w:rsidR="00B4328A" w:rsidRPr="00892D20" w14:paraId="786786E7" w14:textId="0151A651"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4BFC5EF0"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DT15</w:t>
            </w:r>
          </w:p>
        </w:tc>
        <w:tc>
          <w:tcPr>
            <w:tcW w:w="1915" w:type="dxa"/>
            <w:tcBorders>
              <w:top w:val="nil"/>
              <w:left w:val="nil"/>
              <w:bottom w:val="single" w:sz="4" w:space="0" w:color="920000"/>
              <w:right w:val="single" w:sz="4" w:space="0" w:color="920000"/>
            </w:tcBorders>
            <w:shd w:val="clear" w:color="auto" w:fill="auto"/>
            <w:noWrap/>
            <w:vAlign w:val="center"/>
            <w:hideMark/>
          </w:tcPr>
          <w:p w14:paraId="2BD2FEE5"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58896BA2"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0.9595</w:t>
            </w:r>
          </w:p>
        </w:tc>
        <w:tc>
          <w:tcPr>
            <w:tcW w:w="1915" w:type="dxa"/>
            <w:tcBorders>
              <w:top w:val="nil"/>
              <w:left w:val="nil"/>
              <w:bottom w:val="single" w:sz="4" w:space="0" w:color="920000"/>
              <w:right w:val="single" w:sz="4" w:space="0" w:color="920000"/>
            </w:tcBorders>
            <w:shd w:val="clear" w:color="auto" w:fill="auto"/>
            <w:noWrap/>
            <w:vAlign w:val="center"/>
            <w:hideMark/>
          </w:tcPr>
          <w:p w14:paraId="2AF31AE4"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1.0019</w:t>
            </w:r>
          </w:p>
        </w:tc>
        <w:tc>
          <w:tcPr>
            <w:tcW w:w="1915" w:type="dxa"/>
            <w:tcBorders>
              <w:top w:val="nil"/>
              <w:left w:val="nil"/>
              <w:bottom w:val="single" w:sz="4" w:space="0" w:color="920000"/>
              <w:right w:val="single" w:sz="4" w:space="0" w:color="920000"/>
            </w:tcBorders>
            <w:shd w:val="clear" w:color="auto" w:fill="auto"/>
            <w:noWrap/>
            <w:vAlign w:val="center"/>
            <w:hideMark/>
          </w:tcPr>
          <w:p w14:paraId="4B5B6C07"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0.9927</w:t>
            </w:r>
          </w:p>
        </w:tc>
        <w:tc>
          <w:tcPr>
            <w:tcW w:w="1915" w:type="dxa"/>
            <w:tcBorders>
              <w:top w:val="nil"/>
              <w:left w:val="nil"/>
              <w:bottom w:val="single" w:sz="4" w:space="0" w:color="920000"/>
              <w:right w:val="nil"/>
            </w:tcBorders>
            <w:shd w:val="clear" w:color="auto" w:fill="auto"/>
            <w:noWrap/>
            <w:vAlign w:val="center"/>
            <w:hideMark/>
          </w:tcPr>
          <w:p w14:paraId="0D4C2229"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0.9847</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3CC73BA9"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22.9</w:t>
            </w:r>
          </w:p>
        </w:tc>
        <w:tc>
          <w:tcPr>
            <w:tcW w:w="1741" w:type="dxa"/>
            <w:tcBorders>
              <w:top w:val="nil"/>
              <w:left w:val="nil"/>
              <w:bottom w:val="single" w:sz="4" w:space="0" w:color="920000"/>
              <w:right w:val="single" w:sz="4" w:space="0" w:color="920000"/>
            </w:tcBorders>
            <w:shd w:val="clear" w:color="auto" w:fill="auto"/>
            <w:noWrap/>
            <w:vAlign w:val="center"/>
            <w:hideMark/>
          </w:tcPr>
          <w:p w14:paraId="4248A826"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22.5</w:t>
            </w:r>
          </w:p>
        </w:tc>
      </w:tr>
      <w:tr w:rsidR="00B4328A" w:rsidRPr="00892D20" w14:paraId="10A1C1A5" w14:textId="4EBB7E71"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36AF4899"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DT29</w:t>
            </w:r>
          </w:p>
        </w:tc>
        <w:tc>
          <w:tcPr>
            <w:tcW w:w="1915" w:type="dxa"/>
            <w:tcBorders>
              <w:top w:val="nil"/>
              <w:left w:val="nil"/>
              <w:bottom w:val="single" w:sz="4" w:space="0" w:color="920000"/>
              <w:right w:val="single" w:sz="4" w:space="0" w:color="920000"/>
            </w:tcBorders>
            <w:shd w:val="clear" w:color="auto" w:fill="auto"/>
            <w:noWrap/>
            <w:vAlign w:val="center"/>
            <w:hideMark/>
          </w:tcPr>
          <w:p w14:paraId="7D80F902"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57DDC35A"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0.8331</w:t>
            </w:r>
          </w:p>
        </w:tc>
        <w:tc>
          <w:tcPr>
            <w:tcW w:w="1915" w:type="dxa"/>
            <w:tcBorders>
              <w:top w:val="nil"/>
              <w:left w:val="nil"/>
              <w:bottom w:val="single" w:sz="4" w:space="0" w:color="920000"/>
              <w:right w:val="single" w:sz="4" w:space="0" w:color="920000"/>
            </w:tcBorders>
            <w:shd w:val="clear" w:color="auto" w:fill="auto"/>
            <w:noWrap/>
            <w:vAlign w:val="center"/>
            <w:hideMark/>
          </w:tcPr>
          <w:p w14:paraId="719C36D3"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0.8870</w:t>
            </w:r>
          </w:p>
        </w:tc>
        <w:tc>
          <w:tcPr>
            <w:tcW w:w="1915" w:type="dxa"/>
            <w:tcBorders>
              <w:top w:val="nil"/>
              <w:left w:val="nil"/>
              <w:bottom w:val="single" w:sz="4" w:space="0" w:color="920000"/>
              <w:right w:val="single" w:sz="4" w:space="0" w:color="920000"/>
            </w:tcBorders>
            <w:shd w:val="clear" w:color="auto" w:fill="auto"/>
            <w:noWrap/>
            <w:vAlign w:val="center"/>
            <w:hideMark/>
          </w:tcPr>
          <w:p w14:paraId="10F02268"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0.8986</w:t>
            </w:r>
          </w:p>
        </w:tc>
        <w:tc>
          <w:tcPr>
            <w:tcW w:w="1915" w:type="dxa"/>
            <w:tcBorders>
              <w:top w:val="nil"/>
              <w:left w:val="nil"/>
              <w:bottom w:val="single" w:sz="4" w:space="0" w:color="920000"/>
              <w:right w:val="nil"/>
            </w:tcBorders>
            <w:shd w:val="clear" w:color="auto" w:fill="auto"/>
            <w:noWrap/>
            <w:vAlign w:val="center"/>
            <w:hideMark/>
          </w:tcPr>
          <w:p w14:paraId="6764BD08"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0.8729</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1EB4C02A"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28.8</w:t>
            </w:r>
          </w:p>
        </w:tc>
        <w:tc>
          <w:tcPr>
            <w:tcW w:w="1741" w:type="dxa"/>
            <w:tcBorders>
              <w:top w:val="nil"/>
              <w:left w:val="nil"/>
              <w:bottom w:val="single" w:sz="4" w:space="0" w:color="920000"/>
              <w:right w:val="single" w:sz="4" w:space="0" w:color="920000"/>
            </w:tcBorders>
            <w:shd w:val="clear" w:color="auto" w:fill="auto"/>
            <w:noWrap/>
            <w:vAlign w:val="center"/>
            <w:hideMark/>
          </w:tcPr>
          <w:p w14:paraId="173CC016"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25.1</w:t>
            </w:r>
          </w:p>
        </w:tc>
      </w:tr>
      <w:tr w:rsidR="00B4328A" w:rsidRPr="00892D20" w14:paraId="3B3C7EF7" w14:textId="41EA5FD8"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288E8C84"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DT30</w:t>
            </w:r>
          </w:p>
        </w:tc>
        <w:tc>
          <w:tcPr>
            <w:tcW w:w="1915" w:type="dxa"/>
            <w:tcBorders>
              <w:top w:val="nil"/>
              <w:left w:val="nil"/>
              <w:bottom w:val="single" w:sz="4" w:space="0" w:color="920000"/>
              <w:right w:val="single" w:sz="4" w:space="0" w:color="920000"/>
            </w:tcBorders>
            <w:shd w:val="clear" w:color="auto" w:fill="auto"/>
            <w:noWrap/>
            <w:vAlign w:val="center"/>
            <w:hideMark/>
          </w:tcPr>
          <w:p w14:paraId="7FB178EB"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5678CED3"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0.8216</w:t>
            </w:r>
          </w:p>
        </w:tc>
        <w:tc>
          <w:tcPr>
            <w:tcW w:w="1915" w:type="dxa"/>
            <w:tcBorders>
              <w:top w:val="nil"/>
              <w:left w:val="nil"/>
              <w:bottom w:val="single" w:sz="4" w:space="0" w:color="920000"/>
              <w:right w:val="single" w:sz="4" w:space="0" w:color="920000"/>
            </w:tcBorders>
            <w:shd w:val="clear" w:color="auto" w:fill="auto"/>
            <w:noWrap/>
            <w:vAlign w:val="center"/>
            <w:hideMark/>
          </w:tcPr>
          <w:p w14:paraId="73A34D71"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0.8941</w:t>
            </w:r>
          </w:p>
        </w:tc>
        <w:tc>
          <w:tcPr>
            <w:tcW w:w="1915" w:type="dxa"/>
            <w:tcBorders>
              <w:top w:val="nil"/>
              <w:left w:val="nil"/>
              <w:bottom w:val="single" w:sz="4" w:space="0" w:color="920000"/>
              <w:right w:val="single" w:sz="4" w:space="0" w:color="920000"/>
            </w:tcBorders>
            <w:shd w:val="clear" w:color="auto" w:fill="auto"/>
            <w:noWrap/>
            <w:vAlign w:val="center"/>
            <w:hideMark/>
          </w:tcPr>
          <w:p w14:paraId="5ADECB41"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0.8936</w:t>
            </w:r>
          </w:p>
        </w:tc>
        <w:tc>
          <w:tcPr>
            <w:tcW w:w="1915" w:type="dxa"/>
            <w:tcBorders>
              <w:top w:val="nil"/>
              <w:left w:val="nil"/>
              <w:bottom w:val="single" w:sz="4" w:space="0" w:color="920000"/>
              <w:right w:val="nil"/>
            </w:tcBorders>
            <w:shd w:val="clear" w:color="auto" w:fill="auto"/>
            <w:noWrap/>
            <w:vAlign w:val="center"/>
            <w:hideMark/>
          </w:tcPr>
          <w:p w14:paraId="30286956"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0.8698</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195DD13A"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30.0</w:t>
            </w:r>
          </w:p>
        </w:tc>
        <w:tc>
          <w:tcPr>
            <w:tcW w:w="1741" w:type="dxa"/>
            <w:tcBorders>
              <w:top w:val="nil"/>
              <w:left w:val="nil"/>
              <w:bottom w:val="single" w:sz="4" w:space="0" w:color="920000"/>
              <w:right w:val="single" w:sz="4" w:space="0" w:color="920000"/>
            </w:tcBorders>
            <w:shd w:val="clear" w:color="auto" w:fill="auto"/>
            <w:noWrap/>
            <w:vAlign w:val="center"/>
            <w:hideMark/>
          </w:tcPr>
          <w:p w14:paraId="3F304E66"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26.1</w:t>
            </w:r>
          </w:p>
        </w:tc>
      </w:tr>
      <w:tr w:rsidR="00B4328A" w:rsidRPr="00892D20" w14:paraId="38DC5734" w14:textId="39E5599F"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1ADF9064"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DT32</w:t>
            </w:r>
          </w:p>
        </w:tc>
        <w:tc>
          <w:tcPr>
            <w:tcW w:w="1915" w:type="dxa"/>
            <w:tcBorders>
              <w:top w:val="nil"/>
              <w:left w:val="nil"/>
              <w:bottom w:val="single" w:sz="4" w:space="0" w:color="920000"/>
              <w:right w:val="single" w:sz="4" w:space="0" w:color="920000"/>
            </w:tcBorders>
            <w:shd w:val="clear" w:color="auto" w:fill="auto"/>
            <w:noWrap/>
            <w:vAlign w:val="center"/>
            <w:hideMark/>
          </w:tcPr>
          <w:p w14:paraId="0DB30AD2"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28B2E080"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0.8781</w:t>
            </w:r>
          </w:p>
        </w:tc>
        <w:tc>
          <w:tcPr>
            <w:tcW w:w="1915" w:type="dxa"/>
            <w:tcBorders>
              <w:top w:val="nil"/>
              <w:left w:val="nil"/>
              <w:bottom w:val="single" w:sz="4" w:space="0" w:color="920000"/>
              <w:right w:val="single" w:sz="4" w:space="0" w:color="920000"/>
            </w:tcBorders>
            <w:shd w:val="clear" w:color="auto" w:fill="auto"/>
            <w:noWrap/>
            <w:vAlign w:val="center"/>
            <w:hideMark/>
          </w:tcPr>
          <w:p w14:paraId="715B498A"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0.9165</w:t>
            </w:r>
          </w:p>
        </w:tc>
        <w:tc>
          <w:tcPr>
            <w:tcW w:w="1915" w:type="dxa"/>
            <w:tcBorders>
              <w:top w:val="nil"/>
              <w:left w:val="nil"/>
              <w:bottom w:val="single" w:sz="4" w:space="0" w:color="920000"/>
              <w:right w:val="single" w:sz="4" w:space="0" w:color="920000"/>
            </w:tcBorders>
            <w:shd w:val="clear" w:color="auto" w:fill="auto"/>
            <w:noWrap/>
            <w:vAlign w:val="center"/>
            <w:hideMark/>
          </w:tcPr>
          <w:p w14:paraId="5621386E"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0.9284</w:t>
            </w:r>
          </w:p>
        </w:tc>
        <w:tc>
          <w:tcPr>
            <w:tcW w:w="1915" w:type="dxa"/>
            <w:tcBorders>
              <w:top w:val="nil"/>
              <w:left w:val="nil"/>
              <w:bottom w:val="single" w:sz="4" w:space="0" w:color="920000"/>
              <w:right w:val="nil"/>
            </w:tcBorders>
            <w:shd w:val="clear" w:color="auto" w:fill="auto"/>
            <w:noWrap/>
            <w:vAlign w:val="center"/>
            <w:hideMark/>
          </w:tcPr>
          <w:p w14:paraId="537EB332"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0.9077</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3EAD59D5"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24.7</w:t>
            </w:r>
          </w:p>
        </w:tc>
        <w:tc>
          <w:tcPr>
            <w:tcW w:w="1741" w:type="dxa"/>
            <w:tcBorders>
              <w:top w:val="nil"/>
              <w:left w:val="nil"/>
              <w:bottom w:val="single" w:sz="4" w:space="0" w:color="920000"/>
              <w:right w:val="single" w:sz="4" w:space="0" w:color="920000"/>
            </w:tcBorders>
            <w:shd w:val="clear" w:color="auto" w:fill="auto"/>
            <w:noWrap/>
            <w:vAlign w:val="center"/>
            <w:hideMark/>
          </w:tcPr>
          <w:p w14:paraId="1B5C23F6"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22.4</w:t>
            </w:r>
          </w:p>
        </w:tc>
      </w:tr>
      <w:tr w:rsidR="00B4328A" w:rsidRPr="00892D20" w14:paraId="79C9E6E9" w14:textId="44543856"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780A40A0"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DT33</w:t>
            </w:r>
          </w:p>
        </w:tc>
        <w:tc>
          <w:tcPr>
            <w:tcW w:w="1915" w:type="dxa"/>
            <w:tcBorders>
              <w:top w:val="nil"/>
              <w:left w:val="nil"/>
              <w:bottom w:val="single" w:sz="4" w:space="0" w:color="920000"/>
              <w:right w:val="single" w:sz="4" w:space="0" w:color="920000"/>
            </w:tcBorders>
            <w:shd w:val="clear" w:color="auto" w:fill="auto"/>
            <w:noWrap/>
            <w:vAlign w:val="center"/>
            <w:hideMark/>
          </w:tcPr>
          <w:p w14:paraId="3C5E390E"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05BF9C8A"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0.6269</w:t>
            </w:r>
          </w:p>
        </w:tc>
        <w:tc>
          <w:tcPr>
            <w:tcW w:w="1915" w:type="dxa"/>
            <w:tcBorders>
              <w:top w:val="nil"/>
              <w:left w:val="nil"/>
              <w:bottom w:val="single" w:sz="4" w:space="0" w:color="920000"/>
              <w:right w:val="single" w:sz="4" w:space="0" w:color="920000"/>
            </w:tcBorders>
            <w:shd w:val="clear" w:color="auto" w:fill="auto"/>
            <w:noWrap/>
            <w:vAlign w:val="center"/>
            <w:hideMark/>
          </w:tcPr>
          <w:p w14:paraId="22E5146E"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0.7765</w:t>
            </w:r>
          </w:p>
        </w:tc>
        <w:tc>
          <w:tcPr>
            <w:tcW w:w="1915" w:type="dxa"/>
            <w:tcBorders>
              <w:top w:val="nil"/>
              <w:left w:val="nil"/>
              <w:bottom w:val="single" w:sz="4" w:space="0" w:color="920000"/>
              <w:right w:val="single" w:sz="4" w:space="0" w:color="920000"/>
            </w:tcBorders>
            <w:shd w:val="clear" w:color="auto" w:fill="auto"/>
            <w:noWrap/>
            <w:vAlign w:val="center"/>
            <w:hideMark/>
          </w:tcPr>
          <w:p w14:paraId="494D7F93"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0.7906</w:t>
            </w:r>
          </w:p>
        </w:tc>
        <w:tc>
          <w:tcPr>
            <w:tcW w:w="1915" w:type="dxa"/>
            <w:tcBorders>
              <w:top w:val="nil"/>
              <w:left w:val="nil"/>
              <w:bottom w:val="single" w:sz="4" w:space="0" w:color="920000"/>
              <w:right w:val="nil"/>
            </w:tcBorders>
            <w:shd w:val="clear" w:color="auto" w:fill="auto"/>
            <w:noWrap/>
            <w:vAlign w:val="center"/>
            <w:hideMark/>
          </w:tcPr>
          <w:p w14:paraId="3D240C69"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0.7313</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2AFCE21A"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31.4</w:t>
            </w:r>
          </w:p>
        </w:tc>
        <w:tc>
          <w:tcPr>
            <w:tcW w:w="1741" w:type="dxa"/>
            <w:tcBorders>
              <w:top w:val="nil"/>
              <w:left w:val="nil"/>
              <w:bottom w:val="single" w:sz="4" w:space="0" w:color="920000"/>
              <w:right w:val="single" w:sz="4" w:space="0" w:color="920000"/>
            </w:tcBorders>
            <w:shd w:val="clear" w:color="auto" w:fill="auto"/>
            <w:noWrap/>
            <w:vAlign w:val="center"/>
            <w:hideMark/>
          </w:tcPr>
          <w:p w14:paraId="427ABDA3"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23.0</w:t>
            </w:r>
          </w:p>
        </w:tc>
      </w:tr>
      <w:tr w:rsidR="00B4328A" w:rsidRPr="00892D20" w14:paraId="78889115" w14:textId="59302731" w:rsidTr="00D20B71">
        <w:trPr>
          <w:trHeight w:val="522"/>
        </w:trPr>
        <w:tc>
          <w:tcPr>
            <w:tcW w:w="867" w:type="dxa"/>
            <w:tcBorders>
              <w:top w:val="nil"/>
              <w:left w:val="single" w:sz="8" w:space="0" w:color="920000"/>
              <w:bottom w:val="single" w:sz="4" w:space="0" w:color="920000"/>
              <w:right w:val="single" w:sz="8" w:space="0" w:color="920000"/>
            </w:tcBorders>
            <w:shd w:val="clear" w:color="auto" w:fill="auto"/>
            <w:noWrap/>
            <w:vAlign w:val="center"/>
            <w:hideMark/>
          </w:tcPr>
          <w:p w14:paraId="51AC6A89"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DT37</w:t>
            </w:r>
          </w:p>
        </w:tc>
        <w:tc>
          <w:tcPr>
            <w:tcW w:w="1915" w:type="dxa"/>
            <w:tcBorders>
              <w:top w:val="nil"/>
              <w:left w:val="nil"/>
              <w:bottom w:val="single" w:sz="4" w:space="0" w:color="920000"/>
              <w:right w:val="single" w:sz="4" w:space="0" w:color="920000"/>
            </w:tcBorders>
            <w:shd w:val="clear" w:color="auto" w:fill="auto"/>
            <w:noWrap/>
            <w:vAlign w:val="center"/>
            <w:hideMark/>
          </w:tcPr>
          <w:p w14:paraId="5E7FE734"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 </w:t>
            </w:r>
          </w:p>
        </w:tc>
        <w:tc>
          <w:tcPr>
            <w:tcW w:w="1916" w:type="dxa"/>
            <w:tcBorders>
              <w:top w:val="nil"/>
              <w:left w:val="nil"/>
              <w:bottom w:val="single" w:sz="4" w:space="0" w:color="920000"/>
              <w:right w:val="single" w:sz="4" w:space="0" w:color="920000"/>
            </w:tcBorders>
            <w:shd w:val="clear" w:color="auto" w:fill="auto"/>
            <w:noWrap/>
            <w:vAlign w:val="center"/>
            <w:hideMark/>
          </w:tcPr>
          <w:p w14:paraId="6BD5A322"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0.8740</w:t>
            </w:r>
          </w:p>
        </w:tc>
        <w:tc>
          <w:tcPr>
            <w:tcW w:w="1915" w:type="dxa"/>
            <w:tcBorders>
              <w:top w:val="nil"/>
              <w:left w:val="nil"/>
              <w:bottom w:val="single" w:sz="4" w:space="0" w:color="920000"/>
              <w:right w:val="single" w:sz="4" w:space="0" w:color="920000"/>
            </w:tcBorders>
            <w:shd w:val="clear" w:color="auto" w:fill="auto"/>
            <w:noWrap/>
            <w:vAlign w:val="center"/>
            <w:hideMark/>
          </w:tcPr>
          <w:p w14:paraId="7DE0491B"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0.9101</w:t>
            </w:r>
          </w:p>
        </w:tc>
        <w:tc>
          <w:tcPr>
            <w:tcW w:w="1915" w:type="dxa"/>
            <w:tcBorders>
              <w:top w:val="nil"/>
              <w:left w:val="nil"/>
              <w:bottom w:val="single" w:sz="4" w:space="0" w:color="920000"/>
              <w:right w:val="single" w:sz="4" w:space="0" w:color="920000"/>
            </w:tcBorders>
            <w:shd w:val="clear" w:color="auto" w:fill="auto"/>
            <w:noWrap/>
            <w:vAlign w:val="center"/>
            <w:hideMark/>
          </w:tcPr>
          <w:p w14:paraId="20619775"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0.9229</w:t>
            </w:r>
          </w:p>
        </w:tc>
        <w:tc>
          <w:tcPr>
            <w:tcW w:w="1915" w:type="dxa"/>
            <w:tcBorders>
              <w:top w:val="nil"/>
              <w:left w:val="nil"/>
              <w:bottom w:val="single" w:sz="4" w:space="0" w:color="920000"/>
              <w:right w:val="nil"/>
            </w:tcBorders>
            <w:shd w:val="clear" w:color="auto" w:fill="auto"/>
            <w:noWrap/>
            <w:vAlign w:val="center"/>
            <w:hideMark/>
          </w:tcPr>
          <w:p w14:paraId="5AFC26B7"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0.9023</w:t>
            </w:r>
          </w:p>
        </w:tc>
        <w:tc>
          <w:tcPr>
            <w:tcW w:w="1742" w:type="dxa"/>
            <w:tcBorders>
              <w:top w:val="nil"/>
              <w:left w:val="single" w:sz="4" w:space="0" w:color="920000"/>
              <w:bottom w:val="single" w:sz="4" w:space="0" w:color="920000"/>
              <w:right w:val="single" w:sz="4" w:space="0" w:color="920000"/>
            </w:tcBorders>
            <w:shd w:val="clear" w:color="auto" w:fill="auto"/>
            <w:noWrap/>
            <w:vAlign w:val="center"/>
            <w:hideMark/>
          </w:tcPr>
          <w:p w14:paraId="166611B3"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27.2</w:t>
            </w:r>
          </w:p>
        </w:tc>
        <w:tc>
          <w:tcPr>
            <w:tcW w:w="1741" w:type="dxa"/>
            <w:tcBorders>
              <w:top w:val="nil"/>
              <w:left w:val="nil"/>
              <w:bottom w:val="single" w:sz="4" w:space="0" w:color="920000"/>
              <w:right w:val="single" w:sz="4" w:space="0" w:color="920000"/>
            </w:tcBorders>
            <w:shd w:val="clear" w:color="auto" w:fill="auto"/>
            <w:noWrap/>
            <w:vAlign w:val="center"/>
            <w:hideMark/>
          </w:tcPr>
          <w:p w14:paraId="64C1C3FC" w14:textId="77777777" w:rsidR="00B4328A" w:rsidRPr="00892D20" w:rsidRDefault="00B4328A" w:rsidP="00B4328A">
            <w:pPr>
              <w:spacing w:before="0" w:after="0" w:line="240" w:lineRule="auto"/>
              <w:jc w:val="center"/>
              <w:rPr>
                <w:rFonts w:eastAsia="Times New Roman" w:cs="Arial"/>
                <w:color w:val="000000"/>
                <w:sz w:val="20"/>
                <w:szCs w:val="20"/>
                <w:lang w:eastAsia="en-GB"/>
              </w:rPr>
            </w:pPr>
            <w:r w:rsidRPr="00892D20">
              <w:rPr>
                <w:rFonts w:eastAsia="Times New Roman" w:cs="Arial"/>
                <w:color w:val="000000"/>
                <w:sz w:val="20"/>
                <w:szCs w:val="20"/>
                <w:lang w:eastAsia="en-GB"/>
              </w:rPr>
              <w:t>24.5</w:t>
            </w:r>
          </w:p>
        </w:tc>
      </w:tr>
    </w:tbl>
    <w:p w14:paraId="27F1DD77" w14:textId="77777777" w:rsidR="002A068B" w:rsidRDefault="002A068B">
      <w:pPr>
        <w:spacing w:before="0" w:after="0" w:line="240" w:lineRule="auto"/>
        <w:rPr>
          <w:b/>
          <w:iCs/>
          <w:color w:val="008938"/>
          <w:szCs w:val="18"/>
        </w:rPr>
      </w:pPr>
      <w:r>
        <w:br w:type="page"/>
      </w:r>
    </w:p>
    <w:p w14:paraId="5C830F4D" w14:textId="5F8FDDA0" w:rsidR="00B73D85" w:rsidRDefault="000C7377" w:rsidP="00400B0F">
      <w:pPr>
        <w:pStyle w:val="Caption"/>
      </w:pPr>
      <w:bookmarkStart w:id="128" w:name="_Toc75438465"/>
      <w:r>
        <w:t>Table C.</w:t>
      </w:r>
      <w:r w:rsidR="004813E8">
        <w:rPr>
          <w:color w:val="2B579A"/>
          <w:shd w:val="clear" w:color="auto" w:fill="E6E6E6"/>
        </w:rPr>
        <w:fldChar w:fldCharType="begin"/>
      </w:r>
      <w:r w:rsidR="004813E8">
        <w:rPr>
          <w:noProof/>
        </w:rPr>
        <w:instrText xml:space="preserve"> SEQ Table_C \* ARABIC </w:instrText>
      </w:r>
      <w:r w:rsidR="004813E8">
        <w:rPr>
          <w:color w:val="2B579A"/>
          <w:shd w:val="clear" w:color="auto" w:fill="E6E6E6"/>
        </w:rPr>
        <w:fldChar w:fldCharType="separate"/>
      </w:r>
      <w:r w:rsidR="0062374A">
        <w:rPr>
          <w:noProof/>
        </w:rPr>
        <w:t>3</w:t>
      </w:r>
      <w:r w:rsidR="004813E8">
        <w:rPr>
          <w:color w:val="2B579A"/>
          <w:shd w:val="clear" w:color="auto" w:fill="E6E6E6"/>
        </w:rPr>
        <w:fldChar w:fldCharType="end"/>
      </w:r>
      <w:bookmarkEnd w:id="126"/>
      <w:r>
        <w:t xml:space="preserve"> – Local Bias Adjustment Calculation</w:t>
      </w:r>
      <w:bookmarkEnd w:id="128"/>
    </w:p>
    <w:tbl>
      <w:tblPr>
        <w:tblStyle w:val="TableStyle4"/>
        <w:tblW w:w="14560" w:type="dxa"/>
        <w:tblLayout w:type="fixed"/>
        <w:tblLook w:val="04A0" w:firstRow="1" w:lastRow="0" w:firstColumn="1" w:lastColumn="0" w:noHBand="0" w:noVBand="1"/>
      </w:tblPr>
      <w:tblGrid>
        <w:gridCol w:w="3256"/>
        <w:gridCol w:w="2260"/>
        <w:gridCol w:w="2261"/>
        <w:gridCol w:w="2261"/>
        <w:gridCol w:w="2261"/>
        <w:gridCol w:w="2261"/>
      </w:tblGrid>
      <w:tr w:rsidR="00B73D85" w:rsidRPr="008142E3" w14:paraId="08310553" w14:textId="77777777" w:rsidTr="009F3E60">
        <w:trPr>
          <w:cnfStyle w:val="100000000000" w:firstRow="1" w:lastRow="0" w:firstColumn="0" w:lastColumn="0" w:oddVBand="0" w:evenVBand="0" w:oddHBand="0" w:evenHBand="0" w:firstRowFirstColumn="0" w:firstRowLastColumn="0" w:lastRowFirstColumn="0" w:lastRowLastColumn="0"/>
          <w:trHeight w:val="180"/>
          <w:tblHeader/>
        </w:trPr>
        <w:tc>
          <w:tcPr>
            <w:cnfStyle w:val="001000000000" w:firstRow="0" w:lastRow="0" w:firstColumn="1" w:lastColumn="0" w:oddVBand="0" w:evenVBand="0" w:oddHBand="0" w:evenHBand="0" w:firstRowFirstColumn="0" w:firstRowLastColumn="0" w:lastRowFirstColumn="0" w:lastRowLastColumn="0"/>
            <w:tcW w:w="3256" w:type="dxa"/>
          </w:tcPr>
          <w:p w14:paraId="2AEEDCA8" w14:textId="21B9A4A8" w:rsidR="00B73D85" w:rsidRPr="008142E3" w:rsidRDefault="00B73D85" w:rsidP="003A10E7">
            <w:pPr>
              <w:spacing w:line="240" w:lineRule="auto"/>
              <w:rPr>
                <w:rFonts w:ascii="Arial" w:hAnsi="Arial" w:cs="Arial"/>
                <w:sz w:val="20"/>
                <w:szCs w:val="20"/>
              </w:rPr>
            </w:pPr>
          </w:p>
        </w:tc>
        <w:tc>
          <w:tcPr>
            <w:tcW w:w="2260" w:type="dxa"/>
          </w:tcPr>
          <w:p w14:paraId="2893F126" w14:textId="496A21EB" w:rsidR="00B73D85" w:rsidRPr="008142E3" w:rsidRDefault="00B73D85"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Local Bias Adjustment Input 1</w:t>
            </w:r>
          </w:p>
        </w:tc>
        <w:tc>
          <w:tcPr>
            <w:tcW w:w="2261" w:type="dxa"/>
          </w:tcPr>
          <w:p w14:paraId="135A5D7B" w14:textId="47FC6C4D" w:rsidR="00B73D85" w:rsidRPr="0097313B" w:rsidRDefault="00B73D85"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ascii="Arial" w:hAnsi="Arial" w:cs="Arial"/>
                <w:sz w:val="20"/>
                <w:szCs w:val="20"/>
              </w:rPr>
              <w:t>Local Bias Adjustment Input 2</w:t>
            </w:r>
          </w:p>
        </w:tc>
        <w:tc>
          <w:tcPr>
            <w:tcW w:w="2261" w:type="dxa"/>
          </w:tcPr>
          <w:p w14:paraId="62C1F645" w14:textId="04791954" w:rsidR="00B73D85" w:rsidRPr="0097313B" w:rsidRDefault="00B73D85"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ascii="Arial" w:hAnsi="Arial" w:cs="Arial"/>
                <w:sz w:val="20"/>
                <w:szCs w:val="20"/>
              </w:rPr>
              <w:t>Local Bias Adjustment Input 3</w:t>
            </w:r>
          </w:p>
        </w:tc>
        <w:tc>
          <w:tcPr>
            <w:tcW w:w="2261" w:type="dxa"/>
          </w:tcPr>
          <w:p w14:paraId="2A98AC79" w14:textId="44C51353" w:rsidR="00B73D85" w:rsidRPr="0097313B" w:rsidRDefault="00B73D85"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ascii="Arial" w:hAnsi="Arial" w:cs="Arial"/>
                <w:sz w:val="20"/>
                <w:szCs w:val="20"/>
              </w:rPr>
              <w:t>Local Bias Adjustment Input 4</w:t>
            </w:r>
          </w:p>
        </w:tc>
        <w:tc>
          <w:tcPr>
            <w:tcW w:w="2261" w:type="dxa"/>
          </w:tcPr>
          <w:p w14:paraId="3E1D6178" w14:textId="6184F4B7" w:rsidR="00B73D85" w:rsidRPr="0097313B" w:rsidRDefault="00B73D85"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Local Bias Adjustment Input 5</w:t>
            </w:r>
          </w:p>
        </w:tc>
      </w:tr>
      <w:tr w:rsidR="00B73D85" w:rsidRPr="008142E3" w14:paraId="52B236A8" w14:textId="77777777" w:rsidTr="009F3E60">
        <w:tc>
          <w:tcPr>
            <w:cnfStyle w:val="001000000000" w:firstRow="0" w:lastRow="0" w:firstColumn="1" w:lastColumn="0" w:oddVBand="0" w:evenVBand="0" w:oddHBand="0" w:evenHBand="0" w:firstRowFirstColumn="0" w:firstRowLastColumn="0" w:lastRowFirstColumn="0" w:lastRowLastColumn="0"/>
            <w:tcW w:w="3256" w:type="dxa"/>
          </w:tcPr>
          <w:p w14:paraId="5BA5F4A0" w14:textId="356DFBD8" w:rsidR="00B73D85" w:rsidRPr="00B73D85" w:rsidRDefault="00B73D85" w:rsidP="00E665C2">
            <w:pPr>
              <w:spacing w:before="0" w:after="0" w:line="240" w:lineRule="auto"/>
              <w:rPr>
                <w:rFonts w:cs="Arial"/>
                <w:b/>
                <w:bCs/>
                <w:sz w:val="20"/>
                <w:szCs w:val="20"/>
              </w:rPr>
            </w:pPr>
            <w:r w:rsidRPr="00B73D85">
              <w:rPr>
                <w:rFonts w:cs="Arial"/>
                <w:b/>
                <w:bCs/>
                <w:sz w:val="20"/>
                <w:szCs w:val="20"/>
              </w:rPr>
              <w:t>Periods used to calculate bias</w:t>
            </w:r>
          </w:p>
        </w:tc>
        <w:tc>
          <w:tcPr>
            <w:tcW w:w="2260" w:type="dxa"/>
          </w:tcPr>
          <w:p w14:paraId="08A6962A" w14:textId="363F7A60" w:rsidR="00B73D85" w:rsidRPr="00675119" w:rsidRDefault="00E13F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675119">
              <w:rPr>
                <w:rFonts w:cs="Arial"/>
                <w:sz w:val="20"/>
                <w:szCs w:val="20"/>
              </w:rPr>
              <w:t>10</w:t>
            </w:r>
          </w:p>
        </w:tc>
        <w:tc>
          <w:tcPr>
            <w:tcW w:w="2261" w:type="dxa"/>
          </w:tcPr>
          <w:p w14:paraId="743BCABE"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3C13AA22"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1CD15782"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2616C5E2"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B73D85" w:rsidRPr="008142E3" w14:paraId="2F09698B" w14:textId="77777777" w:rsidTr="009F3E60">
        <w:tc>
          <w:tcPr>
            <w:cnfStyle w:val="001000000000" w:firstRow="0" w:lastRow="0" w:firstColumn="1" w:lastColumn="0" w:oddVBand="0" w:evenVBand="0" w:oddHBand="0" w:evenHBand="0" w:firstRowFirstColumn="0" w:firstRowLastColumn="0" w:lastRowFirstColumn="0" w:lastRowLastColumn="0"/>
            <w:tcW w:w="3256" w:type="dxa"/>
          </w:tcPr>
          <w:p w14:paraId="19E7B6C8" w14:textId="2CBC2B40" w:rsidR="00B73D85" w:rsidRPr="00B73D85" w:rsidRDefault="00B73D85" w:rsidP="00E665C2">
            <w:pPr>
              <w:spacing w:before="0" w:after="0" w:line="240" w:lineRule="auto"/>
              <w:rPr>
                <w:rFonts w:cs="Arial"/>
                <w:b/>
                <w:bCs/>
                <w:sz w:val="20"/>
                <w:szCs w:val="20"/>
              </w:rPr>
            </w:pPr>
            <w:r w:rsidRPr="00B73D85">
              <w:rPr>
                <w:rFonts w:cs="Arial"/>
                <w:b/>
                <w:bCs/>
                <w:sz w:val="20"/>
                <w:szCs w:val="20"/>
              </w:rPr>
              <w:t>Bias Factor A</w:t>
            </w:r>
          </w:p>
        </w:tc>
        <w:tc>
          <w:tcPr>
            <w:tcW w:w="2260" w:type="dxa"/>
          </w:tcPr>
          <w:p w14:paraId="02C90CC1" w14:textId="77777777" w:rsidR="00A67449" w:rsidRPr="002A0F00" w:rsidRDefault="00A67449" w:rsidP="00A6744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A0F00">
              <w:rPr>
                <w:rFonts w:cs="Arial"/>
                <w:sz w:val="20"/>
                <w:szCs w:val="20"/>
              </w:rPr>
              <w:t>0.84 (0.78 - 0.92)</w:t>
            </w:r>
          </w:p>
          <w:p w14:paraId="695BD1C6" w14:textId="67E0A08F" w:rsidR="00B73D85" w:rsidRPr="002A0F00"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261" w:type="dxa"/>
          </w:tcPr>
          <w:p w14:paraId="3C8D8C6B"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3BEDE919"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6E64F1C0"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319B549A"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B73D85" w:rsidRPr="008142E3" w14:paraId="6C604A15" w14:textId="77777777" w:rsidTr="009F3E60">
        <w:tc>
          <w:tcPr>
            <w:cnfStyle w:val="001000000000" w:firstRow="0" w:lastRow="0" w:firstColumn="1" w:lastColumn="0" w:oddVBand="0" w:evenVBand="0" w:oddHBand="0" w:evenHBand="0" w:firstRowFirstColumn="0" w:firstRowLastColumn="0" w:lastRowFirstColumn="0" w:lastRowLastColumn="0"/>
            <w:tcW w:w="3256" w:type="dxa"/>
          </w:tcPr>
          <w:p w14:paraId="1D51DC50" w14:textId="3F286496" w:rsidR="00B73D85" w:rsidRPr="00B73D85" w:rsidRDefault="00B73D85" w:rsidP="00E665C2">
            <w:pPr>
              <w:spacing w:before="0" w:after="0" w:line="240" w:lineRule="auto"/>
              <w:rPr>
                <w:rFonts w:cs="Arial"/>
                <w:b/>
                <w:bCs/>
                <w:sz w:val="20"/>
                <w:szCs w:val="20"/>
              </w:rPr>
            </w:pPr>
            <w:r w:rsidRPr="00B73D85">
              <w:rPr>
                <w:rFonts w:cs="Arial"/>
                <w:b/>
                <w:bCs/>
                <w:sz w:val="20"/>
                <w:szCs w:val="20"/>
              </w:rPr>
              <w:t>Bias Factor B</w:t>
            </w:r>
          </w:p>
        </w:tc>
        <w:tc>
          <w:tcPr>
            <w:tcW w:w="2260" w:type="dxa"/>
          </w:tcPr>
          <w:p w14:paraId="27628AB7" w14:textId="77777777" w:rsidR="00675119" w:rsidRPr="002A0F00"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A0F00">
              <w:rPr>
                <w:rFonts w:cs="Arial"/>
                <w:sz w:val="20"/>
                <w:szCs w:val="20"/>
              </w:rPr>
              <w:t>-</w:t>
            </w:r>
          </w:p>
          <w:p w14:paraId="0A0F6699" w14:textId="77777777" w:rsidR="00675119" w:rsidRPr="002A0F00" w:rsidRDefault="00675119" w:rsidP="0067511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eastAsia="en-GB"/>
              </w:rPr>
            </w:pPr>
            <w:r w:rsidRPr="002A0F00">
              <w:rPr>
                <w:rFonts w:cs="Arial"/>
                <w:sz w:val="20"/>
                <w:szCs w:val="20"/>
              </w:rPr>
              <w:t>18%   (9% - 28%)</w:t>
            </w:r>
          </w:p>
          <w:p w14:paraId="687DA048" w14:textId="0A7053A5" w:rsidR="00B73D85" w:rsidRPr="002A0F00"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261" w:type="dxa"/>
          </w:tcPr>
          <w:p w14:paraId="367AE557"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23BD05C3"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2592C470"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0A86B1D1"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B73D85" w:rsidRPr="008142E3" w14:paraId="216A5BC4" w14:textId="77777777" w:rsidTr="009F3E60">
        <w:tc>
          <w:tcPr>
            <w:cnfStyle w:val="001000000000" w:firstRow="0" w:lastRow="0" w:firstColumn="1" w:lastColumn="0" w:oddVBand="0" w:evenVBand="0" w:oddHBand="0" w:evenHBand="0" w:firstRowFirstColumn="0" w:firstRowLastColumn="0" w:lastRowFirstColumn="0" w:lastRowLastColumn="0"/>
            <w:tcW w:w="3256" w:type="dxa"/>
          </w:tcPr>
          <w:p w14:paraId="2208268B" w14:textId="7D0B42BA" w:rsidR="00B73D85" w:rsidRPr="00B73D85" w:rsidRDefault="00B73D85" w:rsidP="00E665C2">
            <w:pPr>
              <w:spacing w:before="0" w:after="0" w:line="240" w:lineRule="auto"/>
              <w:rPr>
                <w:rFonts w:cs="Arial"/>
                <w:b/>
                <w:bCs/>
                <w:sz w:val="20"/>
                <w:szCs w:val="20"/>
              </w:rPr>
            </w:pPr>
            <w:r w:rsidRPr="00B73D85">
              <w:rPr>
                <w:rFonts w:cs="Arial"/>
                <w:b/>
                <w:bCs/>
                <w:sz w:val="20"/>
                <w:szCs w:val="20"/>
              </w:rPr>
              <w:t>Diffusion Tube Mean (µg/m</w:t>
            </w:r>
            <w:r w:rsidRPr="00B73D85">
              <w:rPr>
                <w:rFonts w:cs="Arial"/>
                <w:b/>
                <w:bCs/>
                <w:sz w:val="20"/>
                <w:szCs w:val="20"/>
                <w:vertAlign w:val="superscript"/>
              </w:rPr>
              <w:t>3</w:t>
            </w:r>
            <w:r w:rsidRPr="00B73D85">
              <w:rPr>
                <w:rFonts w:cs="Arial"/>
                <w:b/>
                <w:bCs/>
                <w:sz w:val="20"/>
                <w:szCs w:val="20"/>
              </w:rPr>
              <w:t>)</w:t>
            </w:r>
          </w:p>
        </w:tc>
        <w:tc>
          <w:tcPr>
            <w:tcW w:w="2260" w:type="dxa"/>
          </w:tcPr>
          <w:p w14:paraId="2DBB6E66" w14:textId="1D01BBC0" w:rsidR="00B73D85" w:rsidRPr="002A0F00" w:rsidRDefault="00675119"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A0F00">
              <w:rPr>
                <w:rFonts w:cs="Arial"/>
                <w:sz w:val="20"/>
                <w:szCs w:val="20"/>
              </w:rPr>
              <w:t>24</w:t>
            </w:r>
          </w:p>
        </w:tc>
        <w:tc>
          <w:tcPr>
            <w:tcW w:w="2261" w:type="dxa"/>
          </w:tcPr>
          <w:p w14:paraId="0A8718F9"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7BD5BABB"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51699391"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5A4EF06D"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B73D85" w:rsidRPr="008142E3" w14:paraId="0BC02250" w14:textId="77777777" w:rsidTr="009F3E60">
        <w:tc>
          <w:tcPr>
            <w:cnfStyle w:val="001000000000" w:firstRow="0" w:lastRow="0" w:firstColumn="1" w:lastColumn="0" w:oddVBand="0" w:evenVBand="0" w:oddHBand="0" w:evenHBand="0" w:firstRowFirstColumn="0" w:firstRowLastColumn="0" w:lastRowFirstColumn="0" w:lastRowLastColumn="0"/>
            <w:tcW w:w="3256" w:type="dxa"/>
          </w:tcPr>
          <w:p w14:paraId="0AA4E8FA" w14:textId="4C7FF5D4" w:rsidR="00B73D85" w:rsidRPr="00B73D85" w:rsidRDefault="00B73D85" w:rsidP="00E665C2">
            <w:pPr>
              <w:spacing w:before="0" w:after="0" w:line="240" w:lineRule="auto"/>
              <w:rPr>
                <w:rFonts w:cs="Arial"/>
                <w:b/>
                <w:bCs/>
                <w:sz w:val="20"/>
                <w:szCs w:val="20"/>
              </w:rPr>
            </w:pPr>
            <w:r w:rsidRPr="00B73D85">
              <w:rPr>
                <w:rFonts w:cs="Arial"/>
                <w:b/>
                <w:bCs/>
                <w:sz w:val="20"/>
                <w:szCs w:val="20"/>
              </w:rPr>
              <w:t>Mean CV (Precision)</w:t>
            </w:r>
          </w:p>
        </w:tc>
        <w:tc>
          <w:tcPr>
            <w:tcW w:w="2260" w:type="dxa"/>
          </w:tcPr>
          <w:p w14:paraId="738A7C1C" w14:textId="71ADC779" w:rsidR="00B73D85" w:rsidRPr="002A0F00" w:rsidRDefault="00261DB1"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A0F00">
              <w:rPr>
                <w:rFonts w:cs="Arial"/>
                <w:sz w:val="20"/>
                <w:szCs w:val="20"/>
              </w:rPr>
              <w:t>3.7%</w:t>
            </w:r>
          </w:p>
        </w:tc>
        <w:tc>
          <w:tcPr>
            <w:tcW w:w="2261" w:type="dxa"/>
          </w:tcPr>
          <w:p w14:paraId="22C82E57"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74A6964B"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35E0C185"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0A6CD1FA"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B73D85" w:rsidRPr="008142E3" w14:paraId="4DA6AD95" w14:textId="77777777" w:rsidTr="009F3E60">
        <w:tc>
          <w:tcPr>
            <w:cnfStyle w:val="001000000000" w:firstRow="0" w:lastRow="0" w:firstColumn="1" w:lastColumn="0" w:oddVBand="0" w:evenVBand="0" w:oddHBand="0" w:evenHBand="0" w:firstRowFirstColumn="0" w:firstRowLastColumn="0" w:lastRowFirstColumn="0" w:lastRowLastColumn="0"/>
            <w:tcW w:w="3256" w:type="dxa"/>
          </w:tcPr>
          <w:p w14:paraId="0367CFD5" w14:textId="3A3185B3" w:rsidR="00B73D85" w:rsidRPr="00B73D85" w:rsidRDefault="00B73D85" w:rsidP="00E665C2">
            <w:pPr>
              <w:spacing w:before="0" w:after="0" w:line="240" w:lineRule="auto"/>
              <w:rPr>
                <w:rFonts w:cs="Arial"/>
                <w:b/>
                <w:bCs/>
                <w:sz w:val="20"/>
                <w:szCs w:val="20"/>
              </w:rPr>
            </w:pPr>
            <w:r w:rsidRPr="00B73D85">
              <w:rPr>
                <w:rFonts w:cs="Arial"/>
                <w:b/>
                <w:bCs/>
                <w:sz w:val="20"/>
                <w:szCs w:val="20"/>
              </w:rPr>
              <w:t>Automatic Mean (µg/m</w:t>
            </w:r>
            <w:r w:rsidRPr="00B73D85">
              <w:rPr>
                <w:rFonts w:cs="Arial"/>
                <w:b/>
                <w:bCs/>
                <w:sz w:val="20"/>
                <w:szCs w:val="20"/>
                <w:vertAlign w:val="superscript"/>
              </w:rPr>
              <w:t>3</w:t>
            </w:r>
            <w:r w:rsidRPr="00B73D85">
              <w:rPr>
                <w:rFonts w:cs="Arial"/>
                <w:b/>
                <w:bCs/>
                <w:sz w:val="20"/>
                <w:szCs w:val="20"/>
              </w:rPr>
              <w:t>)</w:t>
            </w:r>
          </w:p>
        </w:tc>
        <w:tc>
          <w:tcPr>
            <w:tcW w:w="2260" w:type="dxa"/>
          </w:tcPr>
          <w:p w14:paraId="409CD933" w14:textId="0381418B" w:rsidR="00B73D85" w:rsidRPr="002A0F00" w:rsidRDefault="00261DB1" w:rsidP="00261DB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A0F00">
              <w:rPr>
                <w:rFonts w:cs="Arial"/>
                <w:sz w:val="20"/>
                <w:szCs w:val="20"/>
              </w:rPr>
              <w:t>20.2</w:t>
            </w:r>
          </w:p>
        </w:tc>
        <w:tc>
          <w:tcPr>
            <w:tcW w:w="2261" w:type="dxa"/>
          </w:tcPr>
          <w:p w14:paraId="5C45438E"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683D8A1B"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1BE820C0"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333D31A7"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B73D85" w:rsidRPr="008142E3" w14:paraId="4BE6CAB8" w14:textId="77777777" w:rsidTr="009F3E60">
        <w:tc>
          <w:tcPr>
            <w:cnfStyle w:val="001000000000" w:firstRow="0" w:lastRow="0" w:firstColumn="1" w:lastColumn="0" w:oddVBand="0" w:evenVBand="0" w:oddHBand="0" w:evenHBand="0" w:firstRowFirstColumn="0" w:firstRowLastColumn="0" w:lastRowFirstColumn="0" w:lastRowLastColumn="0"/>
            <w:tcW w:w="3256" w:type="dxa"/>
          </w:tcPr>
          <w:p w14:paraId="3C36FBBB" w14:textId="74D3B605" w:rsidR="00B73D85" w:rsidRPr="00B73D85" w:rsidRDefault="00B73D85" w:rsidP="00E665C2">
            <w:pPr>
              <w:spacing w:before="0" w:after="0" w:line="240" w:lineRule="auto"/>
              <w:rPr>
                <w:rFonts w:cs="Arial"/>
                <w:b/>
                <w:bCs/>
                <w:sz w:val="20"/>
                <w:szCs w:val="20"/>
              </w:rPr>
            </w:pPr>
            <w:r w:rsidRPr="00B73D85">
              <w:rPr>
                <w:rFonts w:cs="Arial"/>
                <w:b/>
                <w:bCs/>
                <w:sz w:val="20"/>
                <w:szCs w:val="20"/>
              </w:rPr>
              <w:t>Data Capture</w:t>
            </w:r>
          </w:p>
        </w:tc>
        <w:tc>
          <w:tcPr>
            <w:tcW w:w="2260" w:type="dxa"/>
          </w:tcPr>
          <w:p w14:paraId="2464033C" w14:textId="0322C5E9" w:rsidR="00B73D85" w:rsidRPr="002A0F00" w:rsidRDefault="00261DB1"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A0F00">
              <w:rPr>
                <w:rFonts w:cs="Arial"/>
                <w:sz w:val="20"/>
                <w:szCs w:val="20"/>
              </w:rPr>
              <w:t>98</w:t>
            </w:r>
            <w:r w:rsidR="00B73D85" w:rsidRPr="002A0F00">
              <w:rPr>
                <w:rFonts w:cs="Arial"/>
                <w:sz w:val="20"/>
                <w:szCs w:val="20"/>
              </w:rPr>
              <w:t>%</w:t>
            </w:r>
          </w:p>
        </w:tc>
        <w:tc>
          <w:tcPr>
            <w:tcW w:w="2261" w:type="dxa"/>
          </w:tcPr>
          <w:p w14:paraId="2BDCE785"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54AAA12C"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30F5F63E"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66F47985"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B73D85" w:rsidRPr="008142E3" w14:paraId="4ED18D46" w14:textId="77777777" w:rsidTr="009F3E60">
        <w:tc>
          <w:tcPr>
            <w:cnfStyle w:val="001000000000" w:firstRow="0" w:lastRow="0" w:firstColumn="1" w:lastColumn="0" w:oddVBand="0" w:evenVBand="0" w:oddHBand="0" w:evenHBand="0" w:firstRowFirstColumn="0" w:firstRowLastColumn="0" w:lastRowFirstColumn="0" w:lastRowLastColumn="0"/>
            <w:tcW w:w="3256" w:type="dxa"/>
          </w:tcPr>
          <w:p w14:paraId="39BDF2EE" w14:textId="2A7CA315" w:rsidR="00B73D85" w:rsidRPr="00B73D85" w:rsidRDefault="00B73D85" w:rsidP="00E665C2">
            <w:pPr>
              <w:spacing w:before="0" w:after="0" w:line="240" w:lineRule="auto"/>
              <w:rPr>
                <w:rFonts w:cs="Arial"/>
                <w:b/>
                <w:bCs/>
                <w:sz w:val="20"/>
                <w:szCs w:val="20"/>
              </w:rPr>
            </w:pPr>
            <w:r w:rsidRPr="00B73D85">
              <w:rPr>
                <w:rFonts w:cs="Arial"/>
                <w:b/>
                <w:bCs/>
                <w:sz w:val="20"/>
                <w:szCs w:val="20"/>
              </w:rPr>
              <w:t>Adjusted Tube Mean (µg/m</w:t>
            </w:r>
            <w:r w:rsidRPr="00B73D85">
              <w:rPr>
                <w:rFonts w:cs="Arial"/>
                <w:b/>
                <w:bCs/>
                <w:sz w:val="20"/>
                <w:szCs w:val="20"/>
                <w:vertAlign w:val="superscript"/>
              </w:rPr>
              <w:t>3</w:t>
            </w:r>
            <w:r w:rsidRPr="00B73D85">
              <w:rPr>
                <w:rFonts w:cs="Arial"/>
                <w:b/>
                <w:bCs/>
                <w:sz w:val="20"/>
                <w:szCs w:val="20"/>
              </w:rPr>
              <w:t>)</w:t>
            </w:r>
          </w:p>
        </w:tc>
        <w:tc>
          <w:tcPr>
            <w:tcW w:w="2260" w:type="dxa"/>
          </w:tcPr>
          <w:p w14:paraId="471D63F6" w14:textId="0BE46327" w:rsidR="00B73D85" w:rsidRPr="002A0F00" w:rsidRDefault="002A0F00"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A0F00">
              <w:rPr>
                <w:rFonts w:cs="Arial"/>
                <w:sz w:val="20"/>
                <w:szCs w:val="20"/>
              </w:rPr>
              <w:t>20 19-22</w:t>
            </w:r>
          </w:p>
        </w:tc>
        <w:tc>
          <w:tcPr>
            <w:tcW w:w="2261" w:type="dxa"/>
          </w:tcPr>
          <w:p w14:paraId="4D90A37E"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40DCEB6B"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76404F1F"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c>
          <w:tcPr>
            <w:tcW w:w="2261" w:type="dxa"/>
            <w:vAlign w:val="top"/>
          </w:tcPr>
          <w:p w14:paraId="1C283DA4" w14:textId="77777777" w:rsidR="00B73D85" w:rsidRPr="00B73D85" w:rsidRDefault="00B73D85" w:rsidP="00E665C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bl>
    <w:p w14:paraId="19A808A9" w14:textId="77777777" w:rsidR="00554BEE" w:rsidRPr="00130A54" w:rsidRDefault="00554BEE" w:rsidP="00554BEE">
      <w:pPr>
        <w:spacing w:line="240" w:lineRule="auto"/>
        <w:rPr>
          <w:b/>
          <w:szCs w:val="24"/>
        </w:rPr>
      </w:pPr>
      <w:bookmarkStart w:id="129" w:name="_Ref64314103"/>
      <w:r w:rsidRPr="00130A54">
        <w:rPr>
          <w:b/>
          <w:szCs w:val="24"/>
        </w:rPr>
        <w:t>Notes:</w:t>
      </w:r>
    </w:p>
    <w:p w14:paraId="04D66723" w14:textId="0F655C45" w:rsidR="00554BEE" w:rsidRDefault="00554BEE" w:rsidP="002A0F00">
      <w:pPr>
        <w:spacing w:line="240" w:lineRule="auto"/>
        <w:rPr>
          <w:szCs w:val="24"/>
        </w:rPr>
      </w:pPr>
      <w:r>
        <w:rPr>
          <w:szCs w:val="24"/>
        </w:rPr>
        <w:t>A single local bias adjustment factor has been used to bias adjust the 2020 diffusion tube results.</w:t>
      </w:r>
    </w:p>
    <w:p w14:paraId="700363DB" w14:textId="77777777" w:rsidR="002A068B" w:rsidRDefault="002A068B">
      <w:pPr>
        <w:spacing w:before="0" w:after="0" w:line="240" w:lineRule="auto"/>
        <w:rPr>
          <w:b/>
          <w:iCs/>
          <w:color w:val="008938"/>
          <w:szCs w:val="18"/>
        </w:rPr>
      </w:pPr>
      <w:r>
        <w:br w:type="page"/>
      </w:r>
    </w:p>
    <w:p w14:paraId="002CED2D" w14:textId="616D59BB" w:rsidR="00B14B97" w:rsidRPr="00B14B97" w:rsidRDefault="00B14B97" w:rsidP="00400B0F">
      <w:pPr>
        <w:sectPr w:rsidR="00B14B97" w:rsidRPr="00B14B97" w:rsidSect="00B4328A">
          <w:footerReference w:type="default" r:id="rId55"/>
          <w:footerReference w:type="first" r:id="rId56"/>
          <w:pgSz w:w="16838" w:h="11899" w:orient="landscape" w:code="9"/>
          <w:pgMar w:top="1134" w:right="1670" w:bottom="1134" w:left="1134" w:header="340" w:footer="340" w:gutter="0"/>
          <w:cols w:space="708"/>
          <w:docGrid w:linePitch="326"/>
        </w:sectPr>
      </w:pPr>
      <w:bookmarkStart w:id="130" w:name="_Ref55286196"/>
      <w:bookmarkEnd w:id="127"/>
      <w:bookmarkEnd w:id="129"/>
    </w:p>
    <w:p w14:paraId="545B71D9" w14:textId="65E55B15" w:rsidR="0097313B" w:rsidRDefault="0097313B" w:rsidP="00400B0F">
      <w:pPr>
        <w:pStyle w:val="Heading1"/>
        <w:numPr>
          <w:ilvl w:val="0"/>
          <w:numId w:val="0"/>
        </w:numPr>
      </w:pPr>
      <w:bookmarkStart w:id="131" w:name="_Appendix_E:_Map(s)"/>
      <w:bookmarkStart w:id="132" w:name="_Ref67662185"/>
      <w:bookmarkStart w:id="133" w:name="_Ref67663483"/>
      <w:bookmarkStart w:id="134" w:name="_Ref67664074"/>
      <w:bookmarkStart w:id="135" w:name="_Toc75438400"/>
      <w:bookmarkEnd w:id="131"/>
      <w:r>
        <w:t xml:space="preserve">Appendix </w:t>
      </w:r>
      <w:r w:rsidR="00647227">
        <w:t>D</w:t>
      </w:r>
      <w:r>
        <w:t>: Map(s) of Monitoring Locations and AQMAs</w:t>
      </w:r>
      <w:bookmarkEnd w:id="130"/>
      <w:bookmarkEnd w:id="132"/>
      <w:bookmarkEnd w:id="133"/>
      <w:bookmarkEnd w:id="134"/>
      <w:bookmarkEnd w:id="135"/>
    </w:p>
    <w:p w14:paraId="532B878C" w14:textId="194C9A2E" w:rsidR="0097313B" w:rsidRDefault="00647227">
      <w:pPr>
        <w:pStyle w:val="Caption"/>
      </w:pPr>
      <w:bookmarkStart w:id="136" w:name="_Toc67997493"/>
      <w:r>
        <w:t>Figure D.</w:t>
      </w:r>
      <w:r>
        <w:fldChar w:fldCharType="begin"/>
      </w:r>
      <w:r>
        <w:instrText>SEQ Figure_D \* ARABIC</w:instrText>
      </w:r>
      <w:r>
        <w:fldChar w:fldCharType="separate"/>
      </w:r>
      <w:r w:rsidR="0062374A">
        <w:rPr>
          <w:noProof/>
        </w:rPr>
        <w:t>1</w:t>
      </w:r>
      <w:r>
        <w:fldChar w:fldCharType="end"/>
      </w:r>
      <w:r w:rsidR="00F0319B" w:rsidRPr="006078E8">
        <w:t xml:space="preserve"> – </w:t>
      </w:r>
      <w:r w:rsidR="00F0319B" w:rsidRPr="009115C6">
        <w:t>Map of Non-Automatic Monitoring Site</w:t>
      </w:r>
      <w:bookmarkEnd w:id="136"/>
      <w:r w:rsidR="00DB56E5">
        <w:t>s</w:t>
      </w:r>
      <w:r w:rsidR="00B343F2">
        <w:t xml:space="preserve"> – Boldon Lane AQMA</w:t>
      </w:r>
    </w:p>
    <w:p w14:paraId="2AC39A99" w14:textId="547A8753" w:rsidR="00B343F2" w:rsidRDefault="00B343F2" w:rsidP="00B343F2">
      <w:r>
        <w:rPr>
          <w:noProof/>
        </w:rPr>
        <w:drawing>
          <wp:inline distT="0" distB="0" distL="0" distR="0" wp14:anchorId="01C5C257" wp14:editId="63AEC622">
            <wp:extent cx="6209110" cy="2616452"/>
            <wp:effectExtent l="19050" t="19050" r="2032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221114" cy="2621510"/>
                    </a:xfrm>
                    <a:prstGeom prst="rect">
                      <a:avLst/>
                    </a:prstGeom>
                    <a:ln>
                      <a:solidFill>
                        <a:schemeClr val="tx1"/>
                      </a:solidFill>
                    </a:ln>
                  </pic:spPr>
                </pic:pic>
              </a:graphicData>
            </a:graphic>
          </wp:inline>
        </w:drawing>
      </w:r>
    </w:p>
    <w:p w14:paraId="3E926B68" w14:textId="4F70C782" w:rsidR="00DF3600" w:rsidRDefault="00DF3600" w:rsidP="00DF3600">
      <w:pPr>
        <w:pStyle w:val="Caption"/>
      </w:pPr>
      <w:r>
        <w:t>Figure D.</w:t>
      </w:r>
      <w:r w:rsidR="00320764">
        <w:t>2</w:t>
      </w:r>
      <w:r w:rsidRPr="006078E8">
        <w:t xml:space="preserve"> – </w:t>
      </w:r>
      <w:r w:rsidRPr="009115C6">
        <w:t>Map of Non-Automatic Monitoring Site</w:t>
      </w:r>
      <w:r>
        <w:t xml:space="preserve">s – </w:t>
      </w:r>
      <w:r w:rsidR="00320764">
        <w:t>Lindisfarne roundabout/Leam Lane AQMA</w:t>
      </w:r>
    </w:p>
    <w:p w14:paraId="34A295CD" w14:textId="372E99B2" w:rsidR="00320764" w:rsidRPr="00320764" w:rsidRDefault="00C73E22" w:rsidP="00320764">
      <w:r>
        <w:rPr>
          <w:noProof/>
        </w:rPr>
        <w:drawing>
          <wp:inline distT="0" distB="0" distL="0" distR="0" wp14:anchorId="11CB094C" wp14:editId="4FCF6D28">
            <wp:extent cx="6154310" cy="362697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193636" cy="3650153"/>
                    </a:xfrm>
                    <a:prstGeom prst="rect">
                      <a:avLst/>
                    </a:prstGeom>
                  </pic:spPr>
                </pic:pic>
              </a:graphicData>
            </a:graphic>
          </wp:inline>
        </w:drawing>
      </w:r>
    </w:p>
    <w:p w14:paraId="2A7A1796" w14:textId="3C1C38FC" w:rsidR="002C189A" w:rsidRDefault="002C189A" w:rsidP="002C189A">
      <w:pPr>
        <w:pStyle w:val="Style1"/>
      </w:pPr>
      <w:r>
        <w:t xml:space="preserve">Non-Automatic monitoring sites - </w:t>
      </w:r>
      <w:r w:rsidRPr="0001719B">
        <w:t>Hebburn</w:t>
      </w:r>
    </w:p>
    <w:p w14:paraId="28E7A30B" w14:textId="77777777" w:rsidR="002C189A" w:rsidRDefault="002C189A" w:rsidP="002C189A">
      <w:r w:rsidRPr="00BD503B">
        <w:rPr>
          <w:noProof/>
          <w:lang w:eastAsia="en-GB"/>
        </w:rPr>
        <w:drawing>
          <wp:inline distT="0" distB="0" distL="0" distR="0" wp14:anchorId="409CC4B1" wp14:editId="593289CC">
            <wp:extent cx="4497573" cy="363633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492321" cy="3632089"/>
                    </a:xfrm>
                    <a:prstGeom prst="rect">
                      <a:avLst/>
                    </a:prstGeom>
                  </pic:spPr>
                </pic:pic>
              </a:graphicData>
            </a:graphic>
          </wp:inline>
        </w:drawing>
      </w:r>
    </w:p>
    <w:p w14:paraId="5966B6C2" w14:textId="77777777" w:rsidR="002C189A" w:rsidRPr="0001719B" w:rsidRDefault="002C189A" w:rsidP="002C189A"/>
    <w:p w14:paraId="0B1BAD95" w14:textId="12362AFF" w:rsidR="002C189A" w:rsidRPr="0001719B" w:rsidRDefault="000F75A5" w:rsidP="002C189A">
      <w:r>
        <w:t>N</w:t>
      </w:r>
      <w:r w:rsidR="00704F0F">
        <w:t xml:space="preserve">on-Automatic monitoring sites </w:t>
      </w:r>
      <w:r w:rsidR="002C189A" w:rsidRPr="0001719B">
        <w:t xml:space="preserve">- </w:t>
      </w:r>
      <w:r w:rsidR="002C189A">
        <w:t xml:space="preserve"> Jarrow</w:t>
      </w:r>
    </w:p>
    <w:p w14:paraId="3FDED60A" w14:textId="77777777" w:rsidR="002C189A" w:rsidRDefault="002C189A" w:rsidP="002C189A">
      <w:r w:rsidRPr="00BD503B">
        <w:rPr>
          <w:noProof/>
          <w:lang w:eastAsia="en-GB"/>
        </w:rPr>
        <w:drawing>
          <wp:anchor distT="0" distB="0" distL="114300" distR="114300" simplePos="0" relativeHeight="251656704" behindDoc="0" locked="0" layoutInCell="1" allowOverlap="1" wp14:anchorId="02DD4C9A" wp14:editId="7ED05C39">
            <wp:simplePos x="0" y="0"/>
            <wp:positionH relativeFrom="column">
              <wp:posOffset>3175</wp:posOffset>
            </wp:positionH>
            <wp:positionV relativeFrom="paragraph">
              <wp:posOffset>76835</wp:posOffset>
            </wp:positionV>
            <wp:extent cx="4422775" cy="352171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4422775" cy="3521710"/>
                    </a:xfrm>
                    <a:prstGeom prst="rect">
                      <a:avLst/>
                    </a:prstGeom>
                  </pic:spPr>
                </pic:pic>
              </a:graphicData>
            </a:graphic>
            <wp14:sizeRelH relativeFrom="page">
              <wp14:pctWidth>0</wp14:pctWidth>
            </wp14:sizeRelH>
            <wp14:sizeRelV relativeFrom="page">
              <wp14:pctHeight>0</wp14:pctHeight>
            </wp14:sizeRelV>
          </wp:anchor>
        </w:drawing>
      </w:r>
    </w:p>
    <w:p w14:paraId="62C61E37" w14:textId="77777777" w:rsidR="002C189A" w:rsidRDefault="002C189A" w:rsidP="002C189A"/>
    <w:p w14:paraId="658202FD" w14:textId="77777777" w:rsidR="002C189A" w:rsidRPr="0001719B" w:rsidRDefault="002C189A" w:rsidP="002C189A"/>
    <w:p w14:paraId="47B98A0A" w14:textId="77777777" w:rsidR="002C189A" w:rsidRPr="0001719B" w:rsidRDefault="002C189A" w:rsidP="002C189A"/>
    <w:p w14:paraId="33F16B37" w14:textId="77777777" w:rsidR="002C189A" w:rsidRPr="0001719B" w:rsidRDefault="002C189A" w:rsidP="002C189A"/>
    <w:p w14:paraId="4FAADEB1" w14:textId="77777777" w:rsidR="002C189A" w:rsidRPr="0001719B" w:rsidRDefault="002C189A" w:rsidP="002C189A"/>
    <w:p w14:paraId="692E119A" w14:textId="77777777" w:rsidR="002C189A" w:rsidRPr="0001719B" w:rsidRDefault="002C189A" w:rsidP="002C189A"/>
    <w:p w14:paraId="276630F7" w14:textId="77777777" w:rsidR="002C189A" w:rsidRPr="0001719B" w:rsidRDefault="002C189A" w:rsidP="002C189A"/>
    <w:p w14:paraId="16713C6A" w14:textId="77777777" w:rsidR="002C189A" w:rsidRPr="0001719B" w:rsidRDefault="002C189A" w:rsidP="002C189A"/>
    <w:p w14:paraId="67C57D5A" w14:textId="77777777" w:rsidR="002C189A" w:rsidRPr="0001719B" w:rsidRDefault="002C189A" w:rsidP="002C189A"/>
    <w:p w14:paraId="1E66D1BF" w14:textId="77777777" w:rsidR="002C189A" w:rsidRPr="0001719B" w:rsidRDefault="002C189A" w:rsidP="002C189A"/>
    <w:p w14:paraId="74494A18" w14:textId="2B1D6EC4" w:rsidR="002C189A" w:rsidRPr="0001719B" w:rsidRDefault="002C189A" w:rsidP="002C189A">
      <w:pPr>
        <w:tabs>
          <w:tab w:val="left" w:pos="5475"/>
        </w:tabs>
      </w:pPr>
      <w:r w:rsidRPr="0001719B">
        <w:rPr>
          <w:noProof/>
          <w:lang w:eastAsia="en-GB"/>
        </w:rPr>
        <w:drawing>
          <wp:anchor distT="0" distB="0" distL="114300" distR="114300" simplePos="0" relativeHeight="251658752" behindDoc="0" locked="0" layoutInCell="1" allowOverlap="1" wp14:anchorId="1A6F0454" wp14:editId="3005BA3F">
            <wp:simplePos x="0" y="0"/>
            <wp:positionH relativeFrom="column">
              <wp:posOffset>3175</wp:posOffset>
            </wp:positionH>
            <wp:positionV relativeFrom="paragraph">
              <wp:posOffset>328295</wp:posOffset>
            </wp:positionV>
            <wp:extent cx="5731510" cy="2812415"/>
            <wp:effectExtent l="0" t="0" r="254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5731510" cy="2812415"/>
                    </a:xfrm>
                    <a:prstGeom prst="rect">
                      <a:avLst/>
                    </a:prstGeom>
                  </pic:spPr>
                </pic:pic>
              </a:graphicData>
            </a:graphic>
            <wp14:sizeRelH relativeFrom="page">
              <wp14:pctWidth>0</wp14:pctWidth>
            </wp14:sizeRelH>
            <wp14:sizeRelV relativeFrom="page">
              <wp14:pctHeight>0</wp14:pctHeight>
            </wp14:sizeRelV>
          </wp:anchor>
        </w:drawing>
      </w:r>
      <w:r w:rsidR="00704F0F" w:rsidRPr="00704F0F">
        <w:t xml:space="preserve"> </w:t>
      </w:r>
      <w:r w:rsidR="00704F0F">
        <w:t xml:space="preserve">Non-Automatic monitoring sites </w:t>
      </w:r>
      <w:r w:rsidRPr="0001719B">
        <w:t xml:space="preserve">– Boldon </w:t>
      </w:r>
      <w:r w:rsidR="00C4647D">
        <w:t>and A19</w:t>
      </w:r>
    </w:p>
    <w:p w14:paraId="271073E1" w14:textId="77777777" w:rsidR="002C189A" w:rsidRPr="0001719B" w:rsidRDefault="002C189A" w:rsidP="002C189A"/>
    <w:p w14:paraId="3D3A48C5" w14:textId="5BDF49A7" w:rsidR="002C189A" w:rsidRPr="0001719B" w:rsidRDefault="00704F0F" w:rsidP="002C189A">
      <w:pPr>
        <w:tabs>
          <w:tab w:val="left" w:pos="5475"/>
        </w:tabs>
      </w:pPr>
      <w:r>
        <w:t xml:space="preserve">Non-Automatic monitoring sites </w:t>
      </w:r>
      <w:r w:rsidR="002C189A" w:rsidRPr="0001719B">
        <w:t>Location Map – Cleadon and Whitburn</w:t>
      </w:r>
    </w:p>
    <w:p w14:paraId="5C88B652" w14:textId="67E2FD38" w:rsidR="002C189A" w:rsidRPr="0001719B" w:rsidRDefault="002C189A" w:rsidP="002C189A">
      <w:r w:rsidRPr="00BD503B">
        <w:rPr>
          <w:noProof/>
          <w:lang w:eastAsia="en-GB"/>
        </w:rPr>
        <w:drawing>
          <wp:anchor distT="0" distB="0" distL="114300" distR="114300" simplePos="0" relativeHeight="251660800" behindDoc="0" locked="0" layoutInCell="1" allowOverlap="1" wp14:anchorId="66C6D169" wp14:editId="745C90C4">
            <wp:simplePos x="0" y="0"/>
            <wp:positionH relativeFrom="column">
              <wp:posOffset>3175</wp:posOffset>
            </wp:positionH>
            <wp:positionV relativeFrom="paragraph">
              <wp:posOffset>299720</wp:posOffset>
            </wp:positionV>
            <wp:extent cx="5518150" cy="3092450"/>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518150" cy="3092450"/>
                    </a:xfrm>
                    <a:prstGeom prst="rect">
                      <a:avLst/>
                    </a:prstGeom>
                  </pic:spPr>
                </pic:pic>
              </a:graphicData>
            </a:graphic>
            <wp14:sizeRelH relativeFrom="page">
              <wp14:pctWidth>0</wp14:pctWidth>
            </wp14:sizeRelH>
            <wp14:sizeRelV relativeFrom="page">
              <wp14:pctHeight>0</wp14:pctHeight>
            </wp14:sizeRelV>
          </wp:anchor>
        </w:drawing>
      </w:r>
    </w:p>
    <w:p w14:paraId="03C7612D" w14:textId="77777777" w:rsidR="002C189A" w:rsidRPr="0001719B" w:rsidRDefault="002C189A" w:rsidP="002C189A"/>
    <w:p w14:paraId="12E7B8B8" w14:textId="77777777" w:rsidR="002C189A" w:rsidRPr="0001719B" w:rsidRDefault="002C189A" w:rsidP="002C189A"/>
    <w:p w14:paraId="5EA61540" w14:textId="77777777" w:rsidR="002C189A" w:rsidRPr="0001719B" w:rsidRDefault="002C189A" w:rsidP="002C189A"/>
    <w:p w14:paraId="248A311D" w14:textId="77777777" w:rsidR="002C189A" w:rsidRDefault="002C189A" w:rsidP="002C189A">
      <w:pPr>
        <w:ind w:firstLine="720"/>
      </w:pPr>
    </w:p>
    <w:p w14:paraId="648AD87C" w14:textId="77777777" w:rsidR="002C189A" w:rsidRDefault="002C189A" w:rsidP="002C189A">
      <w:pPr>
        <w:ind w:firstLine="720"/>
      </w:pPr>
    </w:p>
    <w:p w14:paraId="7C227BCF" w14:textId="1780903C" w:rsidR="002C189A" w:rsidRPr="0001719B" w:rsidRDefault="00704F0F" w:rsidP="00704F0F">
      <w:r>
        <w:t xml:space="preserve">Non-Automatic monitoring sites </w:t>
      </w:r>
      <w:r w:rsidR="002C189A" w:rsidRPr="0001719B">
        <w:t>Location Map – Tyne Dock and West Park</w:t>
      </w:r>
    </w:p>
    <w:p w14:paraId="51F4B719" w14:textId="77777777" w:rsidR="002C189A" w:rsidRPr="0001719B" w:rsidRDefault="002C189A" w:rsidP="002C189A">
      <w:r w:rsidRPr="00497136">
        <w:rPr>
          <w:noProof/>
          <w:lang w:eastAsia="en-GB"/>
        </w:rPr>
        <w:drawing>
          <wp:inline distT="0" distB="0" distL="0" distR="0" wp14:anchorId="1E2AB76D" wp14:editId="67CB8CC3">
            <wp:extent cx="5441950" cy="3793133"/>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52303" cy="3800350"/>
                    </a:xfrm>
                    <a:prstGeom prst="rect">
                      <a:avLst/>
                    </a:prstGeom>
                  </pic:spPr>
                </pic:pic>
              </a:graphicData>
            </a:graphic>
          </wp:inline>
        </w:drawing>
      </w:r>
    </w:p>
    <w:p w14:paraId="06CBEACE" w14:textId="3B681AA2" w:rsidR="002C189A" w:rsidRPr="0001719B" w:rsidRDefault="00704F0F" w:rsidP="002C189A">
      <w:r>
        <w:t xml:space="preserve">Non-Automatic monitoring sites </w:t>
      </w:r>
      <w:r w:rsidR="002C189A" w:rsidRPr="0001719B">
        <w:t xml:space="preserve">Location Maps – Harton </w:t>
      </w:r>
    </w:p>
    <w:p w14:paraId="6B69BC3B" w14:textId="77777777" w:rsidR="002C189A" w:rsidRPr="0001719B" w:rsidRDefault="002C189A" w:rsidP="002C189A">
      <w:r w:rsidRPr="00B71E8C">
        <w:rPr>
          <w:noProof/>
          <w:lang w:eastAsia="en-GB"/>
        </w:rPr>
        <w:drawing>
          <wp:inline distT="0" distB="0" distL="0" distR="0" wp14:anchorId="06E40F94" wp14:editId="7636421B">
            <wp:extent cx="5649791" cy="3217762"/>
            <wp:effectExtent l="0" t="0" r="825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662537" cy="3225021"/>
                    </a:xfrm>
                    <a:prstGeom prst="rect">
                      <a:avLst/>
                    </a:prstGeom>
                  </pic:spPr>
                </pic:pic>
              </a:graphicData>
            </a:graphic>
          </wp:inline>
        </w:drawing>
      </w:r>
    </w:p>
    <w:p w14:paraId="526708A9" w14:textId="77777777" w:rsidR="002C189A" w:rsidRPr="0001719B" w:rsidRDefault="002C189A" w:rsidP="002C189A"/>
    <w:p w14:paraId="55C42485" w14:textId="77777777" w:rsidR="002C189A" w:rsidRPr="0001719B" w:rsidRDefault="002C189A" w:rsidP="002C189A"/>
    <w:p w14:paraId="60B9D616" w14:textId="77777777" w:rsidR="002C189A" w:rsidRPr="0001719B" w:rsidRDefault="002C189A" w:rsidP="002C189A"/>
    <w:p w14:paraId="1FC0FE78" w14:textId="3C94A588" w:rsidR="002C189A" w:rsidRPr="0001719B" w:rsidRDefault="00704F0F" w:rsidP="002C189A">
      <w:r>
        <w:t xml:space="preserve">Non-Automatic monitoring sites </w:t>
      </w:r>
      <w:r w:rsidR="002C189A" w:rsidRPr="0001719B">
        <w:t>Location Map – Lindisfarne, Jarrow</w:t>
      </w:r>
    </w:p>
    <w:p w14:paraId="70113BA3" w14:textId="77777777" w:rsidR="002C189A" w:rsidRPr="0001719B" w:rsidRDefault="002C189A" w:rsidP="002C189A">
      <w:r w:rsidRPr="00B71E8C">
        <w:rPr>
          <w:noProof/>
          <w:lang w:eastAsia="en-GB"/>
        </w:rPr>
        <w:drawing>
          <wp:inline distT="0" distB="0" distL="0" distR="0" wp14:anchorId="1A92FF7F" wp14:editId="14605E04">
            <wp:extent cx="5433238" cy="36788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40400" cy="3683714"/>
                    </a:xfrm>
                    <a:prstGeom prst="rect">
                      <a:avLst/>
                    </a:prstGeom>
                  </pic:spPr>
                </pic:pic>
              </a:graphicData>
            </a:graphic>
          </wp:inline>
        </w:drawing>
      </w:r>
    </w:p>
    <w:p w14:paraId="4CED72A3" w14:textId="22C148CE" w:rsidR="002C189A" w:rsidRDefault="00704F0F" w:rsidP="002C189A">
      <w:r>
        <w:t xml:space="preserve">Non-Automatic monitoring sites </w:t>
      </w:r>
      <w:r w:rsidR="002C189A" w:rsidRPr="0001719B">
        <w:t xml:space="preserve">Location Map – South Shields </w:t>
      </w:r>
    </w:p>
    <w:p w14:paraId="4C53A990" w14:textId="77777777" w:rsidR="002C189A" w:rsidRPr="0001719B" w:rsidRDefault="002C189A" w:rsidP="002C189A">
      <w:pPr>
        <w:sectPr w:rsidR="002C189A" w:rsidRPr="0001719B" w:rsidSect="00DC476D">
          <w:pgSz w:w="11906" w:h="16838" w:code="9"/>
          <w:pgMar w:top="1474" w:right="1418" w:bottom="1134" w:left="1418" w:header="964" w:footer="454" w:gutter="0"/>
          <w:cols w:space="708"/>
          <w:docGrid w:linePitch="360"/>
        </w:sectPr>
      </w:pPr>
      <w:r w:rsidRPr="00B71E8C">
        <w:rPr>
          <w:noProof/>
          <w:lang w:eastAsia="en-GB"/>
        </w:rPr>
        <w:drawing>
          <wp:inline distT="0" distB="0" distL="0" distR="0" wp14:anchorId="50037FBE" wp14:editId="31487005">
            <wp:extent cx="5358810" cy="384839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368415" cy="3855291"/>
                    </a:xfrm>
                    <a:prstGeom prst="rect">
                      <a:avLst/>
                    </a:prstGeom>
                  </pic:spPr>
                </pic:pic>
              </a:graphicData>
            </a:graphic>
          </wp:inline>
        </w:drawing>
      </w:r>
    </w:p>
    <w:p w14:paraId="420472B8" w14:textId="762A198B" w:rsidR="00F1472B" w:rsidRDefault="00F1472B" w:rsidP="00400B0F">
      <w:pPr>
        <w:pStyle w:val="Heading1"/>
        <w:numPr>
          <w:ilvl w:val="0"/>
          <w:numId w:val="0"/>
        </w:numPr>
      </w:pPr>
      <w:bookmarkStart w:id="137" w:name="_Toc75438401"/>
      <w:r>
        <w:t xml:space="preserve">Appendix </w:t>
      </w:r>
      <w:r w:rsidR="00647227">
        <w:t>E</w:t>
      </w:r>
      <w:r>
        <w:t>: Summary of Air Quality Objectives in England</w:t>
      </w:r>
      <w:bookmarkEnd w:id="137"/>
    </w:p>
    <w:p w14:paraId="16FEC4E9" w14:textId="7FDDC98C" w:rsidR="001243D3" w:rsidRPr="006078E8" w:rsidRDefault="00647227" w:rsidP="009115C6">
      <w:pPr>
        <w:pStyle w:val="Caption"/>
      </w:pPr>
      <w:bookmarkStart w:id="138" w:name="_Ref55286084"/>
      <w:bookmarkStart w:id="139" w:name="_Toc65750662"/>
      <w:bookmarkStart w:id="140" w:name="_Toc67997510"/>
      <w:r>
        <w:t>Table E.</w:t>
      </w:r>
      <w:r>
        <w:fldChar w:fldCharType="begin"/>
      </w:r>
      <w:r>
        <w:instrText>SEQ Table_E \* ARABIC</w:instrText>
      </w:r>
      <w:r>
        <w:fldChar w:fldCharType="separate"/>
      </w:r>
      <w:r w:rsidR="0062374A">
        <w:rPr>
          <w:noProof/>
        </w:rPr>
        <w:t>1</w:t>
      </w:r>
      <w:r>
        <w:fldChar w:fldCharType="end"/>
      </w:r>
      <w:bookmarkEnd w:id="138"/>
      <w:r>
        <w:t xml:space="preserve"> </w:t>
      </w:r>
      <w:r w:rsidR="00F1472B">
        <w:t>– Air Quality Objectives in England</w:t>
      </w:r>
      <w:r w:rsidR="001243D3">
        <w:rPr>
          <w:rStyle w:val="FootnoteReference"/>
        </w:rPr>
        <w:footnoteReference w:id="12"/>
      </w:r>
      <w:bookmarkEnd w:id="139"/>
      <w:bookmarkEnd w:id="140"/>
    </w:p>
    <w:tbl>
      <w:tblPr>
        <w:tblStyle w:val="TableStyle4"/>
        <w:tblW w:w="0" w:type="auto"/>
        <w:tblLook w:val="04A0" w:firstRow="1" w:lastRow="0" w:firstColumn="1" w:lastColumn="0" w:noHBand="0" w:noVBand="1"/>
      </w:tblPr>
      <w:tblGrid>
        <w:gridCol w:w="2405"/>
        <w:gridCol w:w="5387"/>
        <w:gridCol w:w="1829"/>
      </w:tblGrid>
      <w:tr w:rsidR="00130A54" w:rsidRPr="0097313B" w14:paraId="7A8605B7" w14:textId="77777777" w:rsidTr="006F2229">
        <w:trPr>
          <w:cnfStyle w:val="100000000000" w:firstRow="1" w:lastRow="0" w:firstColumn="0" w:lastColumn="0" w:oddVBand="0" w:evenVBand="0" w:oddHBand="0" w:evenHBand="0" w:firstRowFirstColumn="0" w:firstRowLastColumn="0" w:lastRowFirstColumn="0" w:lastRowLastColumn="0"/>
          <w:trHeight w:val="697"/>
          <w:tblHeader/>
        </w:trPr>
        <w:tc>
          <w:tcPr>
            <w:cnfStyle w:val="001000000000" w:firstRow="0" w:lastRow="0" w:firstColumn="1" w:lastColumn="0" w:oddVBand="0" w:evenVBand="0" w:oddHBand="0" w:evenHBand="0" w:firstRowFirstColumn="0" w:firstRowLastColumn="0" w:lastRowFirstColumn="0" w:lastRowLastColumn="0"/>
            <w:tcW w:w="2405" w:type="dxa"/>
          </w:tcPr>
          <w:p w14:paraId="2163D8CB" w14:textId="77777777" w:rsidR="00130A54" w:rsidRPr="00130A54" w:rsidRDefault="00130A54" w:rsidP="002A068B">
            <w:pPr>
              <w:spacing w:line="240" w:lineRule="auto"/>
              <w:rPr>
                <w:rFonts w:ascii="Arial" w:hAnsi="Arial" w:cs="Arial"/>
                <w:sz w:val="20"/>
              </w:rPr>
            </w:pPr>
            <w:r w:rsidRPr="00130A54">
              <w:rPr>
                <w:rFonts w:ascii="Arial" w:hAnsi="Arial" w:cs="Arial"/>
                <w:sz w:val="20"/>
              </w:rPr>
              <w:t>Pollutant</w:t>
            </w:r>
          </w:p>
        </w:tc>
        <w:tc>
          <w:tcPr>
            <w:tcW w:w="5387" w:type="dxa"/>
          </w:tcPr>
          <w:p w14:paraId="5F4687F0" w14:textId="08B91FE4" w:rsidR="00130A54" w:rsidRPr="00130A54" w:rsidRDefault="00130A54"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30A54">
              <w:rPr>
                <w:rFonts w:ascii="Arial" w:hAnsi="Arial" w:cs="Arial"/>
                <w:sz w:val="20"/>
              </w:rPr>
              <w:t>Air Quality Objective</w:t>
            </w:r>
            <w:r w:rsidRPr="00130A54">
              <w:rPr>
                <w:rFonts w:cs="Arial"/>
                <w:sz w:val="20"/>
              </w:rPr>
              <w:t>: Concentration</w:t>
            </w:r>
          </w:p>
        </w:tc>
        <w:tc>
          <w:tcPr>
            <w:tcW w:w="1829" w:type="dxa"/>
          </w:tcPr>
          <w:p w14:paraId="0E80B3FF" w14:textId="63AD7FB9" w:rsidR="00130A54" w:rsidRPr="00130A54" w:rsidRDefault="00130A54" w:rsidP="002A068B">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130A54">
              <w:rPr>
                <w:rFonts w:ascii="Arial" w:hAnsi="Arial" w:cs="Arial"/>
                <w:sz w:val="20"/>
              </w:rPr>
              <w:t>Air Quality Objective</w:t>
            </w:r>
            <w:r w:rsidRPr="00130A54">
              <w:rPr>
                <w:rFonts w:cs="Arial"/>
                <w:sz w:val="20"/>
              </w:rPr>
              <w:t>: Measured as</w:t>
            </w:r>
          </w:p>
        </w:tc>
      </w:tr>
      <w:tr w:rsidR="00116356" w:rsidRPr="0097313B" w14:paraId="0B54C663" w14:textId="77777777" w:rsidTr="006F2229">
        <w:trPr>
          <w:trHeight w:val="306"/>
        </w:trPr>
        <w:tc>
          <w:tcPr>
            <w:cnfStyle w:val="001000000000" w:firstRow="0" w:lastRow="0" w:firstColumn="1" w:lastColumn="0" w:oddVBand="0" w:evenVBand="0" w:oddHBand="0" w:evenHBand="0" w:firstRowFirstColumn="0" w:firstRowLastColumn="0" w:lastRowFirstColumn="0" w:lastRowLastColumn="0"/>
            <w:tcW w:w="2405" w:type="dxa"/>
          </w:tcPr>
          <w:p w14:paraId="33BC20A0" w14:textId="77777777" w:rsidR="00116356" w:rsidRPr="0097313B" w:rsidRDefault="00116356" w:rsidP="002A068B">
            <w:pPr>
              <w:spacing w:line="240" w:lineRule="auto"/>
              <w:rPr>
                <w:rFonts w:cs="Arial"/>
                <w:sz w:val="20"/>
              </w:rPr>
            </w:pPr>
            <w:r w:rsidRPr="0097313B">
              <w:rPr>
                <w:rFonts w:cs="Arial"/>
                <w:sz w:val="20"/>
              </w:rPr>
              <w:t>Nitrogen Dioxide (NO</w:t>
            </w:r>
            <w:r w:rsidRPr="0097313B">
              <w:rPr>
                <w:rFonts w:cs="Arial"/>
                <w:sz w:val="20"/>
                <w:vertAlign w:val="subscript"/>
              </w:rPr>
              <w:t>2</w:t>
            </w:r>
            <w:r w:rsidRPr="0097313B">
              <w:rPr>
                <w:rFonts w:cs="Arial"/>
                <w:sz w:val="20"/>
              </w:rPr>
              <w:t>)</w:t>
            </w:r>
          </w:p>
        </w:tc>
        <w:tc>
          <w:tcPr>
            <w:tcW w:w="5387" w:type="dxa"/>
          </w:tcPr>
          <w:p w14:paraId="533C6DDB" w14:textId="497C0FA2"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200µg/m</w:t>
            </w:r>
            <w:r w:rsidRPr="0097313B">
              <w:rPr>
                <w:rFonts w:cs="Arial"/>
                <w:sz w:val="20"/>
                <w:vertAlign w:val="superscript"/>
              </w:rPr>
              <w:t>3</w:t>
            </w:r>
            <w:r w:rsidRPr="0097313B">
              <w:rPr>
                <w:rFonts w:cs="Arial"/>
                <w:sz w:val="20"/>
              </w:rPr>
              <w:t xml:space="preserve"> not to be exceeded more than 18 times a year</w:t>
            </w:r>
          </w:p>
        </w:tc>
        <w:tc>
          <w:tcPr>
            <w:tcW w:w="1829" w:type="dxa"/>
          </w:tcPr>
          <w:p w14:paraId="504F3FF0"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1-hour mean</w:t>
            </w:r>
          </w:p>
        </w:tc>
      </w:tr>
      <w:tr w:rsidR="00116356" w:rsidRPr="0097313B" w14:paraId="793836D0" w14:textId="77777777" w:rsidTr="006F2229">
        <w:trPr>
          <w:trHeight w:val="305"/>
        </w:trPr>
        <w:tc>
          <w:tcPr>
            <w:cnfStyle w:val="001000000000" w:firstRow="0" w:lastRow="0" w:firstColumn="1" w:lastColumn="0" w:oddVBand="0" w:evenVBand="0" w:oddHBand="0" w:evenHBand="0" w:firstRowFirstColumn="0" w:firstRowLastColumn="0" w:lastRowFirstColumn="0" w:lastRowLastColumn="0"/>
            <w:tcW w:w="2405" w:type="dxa"/>
          </w:tcPr>
          <w:p w14:paraId="4E4B8288" w14:textId="4B58D3CE" w:rsidR="00116356" w:rsidRPr="0097313B" w:rsidRDefault="006F2229" w:rsidP="002A068B">
            <w:pPr>
              <w:spacing w:line="240" w:lineRule="auto"/>
              <w:rPr>
                <w:rFonts w:cs="Arial"/>
                <w:sz w:val="20"/>
              </w:rPr>
            </w:pPr>
            <w:r w:rsidRPr="0097313B">
              <w:rPr>
                <w:rFonts w:cs="Arial"/>
                <w:sz w:val="20"/>
              </w:rPr>
              <w:t>Nitrogen Dioxide (NO</w:t>
            </w:r>
            <w:r w:rsidRPr="0097313B">
              <w:rPr>
                <w:rFonts w:cs="Arial"/>
                <w:sz w:val="20"/>
                <w:vertAlign w:val="subscript"/>
              </w:rPr>
              <w:t>2</w:t>
            </w:r>
            <w:r w:rsidRPr="0097313B">
              <w:rPr>
                <w:rFonts w:cs="Arial"/>
                <w:sz w:val="20"/>
              </w:rPr>
              <w:t>)</w:t>
            </w:r>
          </w:p>
        </w:tc>
        <w:tc>
          <w:tcPr>
            <w:tcW w:w="5387" w:type="dxa"/>
          </w:tcPr>
          <w:p w14:paraId="41DB6895" w14:textId="3770A16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40µg/m</w:t>
            </w:r>
            <w:r w:rsidRPr="0097313B">
              <w:rPr>
                <w:rFonts w:cs="Arial"/>
                <w:sz w:val="20"/>
                <w:vertAlign w:val="superscript"/>
              </w:rPr>
              <w:t>3</w:t>
            </w:r>
          </w:p>
        </w:tc>
        <w:tc>
          <w:tcPr>
            <w:tcW w:w="1829" w:type="dxa"/>
          </w:tcPr>
          <w:p w14:paraId="1947F96B"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Annual mean</w:t>
            </w:r>
          </w:p>
        </w:tc>
      </w:tr>
      <w:tr w:rsidR="00116356" w:rsidRPr="0097313B" w14:paraId="34D61B22" w14:textId="77777777" w:rsidTr="006F2229">
        <w:trPr>
          <w:trHeight w:val="306"/>
        </w:trPr>
        <w:tc>
          <w:tcPr>
            <w:cnfStyle w:val="001000000000" w:firstRow="0" w:lastRow="0" w:firstColumn="1" w:lastColumn="0" w:oddVBand="0" w:evenVBand="0" w:oddHBand="0" w:evenHBand="0" w:firstRowFirstColumn="0" w:firstRowLastColumn="0" w:lastRowFirstColumn="0" w:lastRowLastColumn="0"/>
            <w:tcW w:w="2405" w:type="dxa"/>
          </w:tcPr>
          <w:p w14:paraId="7C9BCB8F" w14:textId="77777777" w:rsidR="00116356" w:rsidRPr="0097313B" w:rsidRDefault="00116356" w:rsidP="002A068B">
            <w:pPr>
              <w:spacing w:line="240" w:lineRule="auto"/>
              <w:rPr>
                <w:rFonts w:cs="Arial"/>
                <w:sz w:val="20"/>
              </w:rPr>
            </w:pPr>
            <w:r w:rsidRPr="0097313B">
              <w:rPr>
                <w:rFonts w:cs="Arial"/>
                <w:sz w:val="20"/>
              </w:rPr>
              <w:t>Particulate Matter (PM</w:t>
            </w:r>
            <w:r w:rsidRPr="0097313B">
              <w:rPr>
                <w:rFonts w:cs="Arial"/>
                <w:sz w:val="20"/>
                <w:vertAlign w:val="subscript"/>
              </w:rPr>
              <w:t>10</w:t>
            </w:r>
            <w:r w:rsidRPr="0097313B">
              <w:rPr>
                <w:rFonts w:cs="Arial"/>
                <w:sz w:val="20"/>
              </w:rPr>
              <w:t>)</w:t>
            </w:r>
          </w:p>
        </w:tc>
        <w:tc>
          <w:tcPr>
            <w:tcW w:w="5387" w:type="dxa"/>
          </w:tcPr>
          <w:p w14:paraId="7FDD32D8" w14:textId="76ECC74E"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50µg/m</w:t>
            </w:r>
            <w:r w:rsidRPr="0097313B">
              <w:rPr>
                <w:rFonts w:cs="Arial"/>
                <w:sz w:val="20"/>
                <w:vertAlign w:val="superscript"/>
              </w:rPr>
              <w:t>3</w:t>
            </w:r>
            <w:r w:rsidRPr="0097313B">
              <w:rPr>
                <w:rFonts w:cs="Arial"/>
                <w:sz w:val="20"/>
              </w:rPr>
              <w:t>, not to be exceeded more than 35 times a year</w:t>
            </w:r>
          </w:p>
        </w:tc>
        <w:tc>
          <w:tcPr>
            <w:tcW w:w="1829" w:type="dxa"/>
          </w:tcPr>
          <w:p w14:paraId="63F47916"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24-hour mean</w:t>
            </w:r>
          </w:p>
        </w:tc>
      </w:tr>
      <w:tr w:rsidR="00116356" w:rsidRPr="0097313B" w14:paraId="3F8F4712" w14:textId="77777777" w:rsidTr="006F2229">
        <w:trPr>
          <w:trHeight w:val="305"/>
        </w:trPr>
        <w:tc>
          <w:tcPr>
            <w:cnfStyle w:val="001000000000" w:firstRow="0" w:lastRow="0" w:firstColumn="1" w:lastColumn="0" w:oddVBand="0" w:evenVBand="0" w:oddHBand="0" w:evenHBand="0" w:firstRowFirstColumn="0" w:firstRowLastColumn="0" w:lastRowFirstColumn="0" w:lastRowLastColumn="0"/>
            <w:tcW w:w="2405" w:type="dxa"/>
          </w:tcPr>
          <w:p w14:paraId="14DBAE89" w14:textId="614080A4" w:rsidR="00116356" w:rsidRPr="0097313B" w:rsidRDefault="006F2229" w:rsidP="002A068B">
            <w:pPr>
              <w:spacing w:line="240" w:lineRule="auto"/>
              <w:rPr>
                <w:rFonts w:cs="Arial"/>
                <w:sz w:val="20"/>
              </w:rPr>
            </w:pPr>
            <w:r w:rsidRPr="0097313B">
              <w:rPr>
                <w:rFonts w:cs="Arial"/>
                <w:sz w:val="20"/>
              </w:rPr>
              <w:t>Particulate Matter (PM</w:t>
            </w:r>
            <w:r w:rsidRPr="0097313B">
              <w:rPr>
                <w:rFonts w:cs="Arial"/>
                <w:sz w:val="20"/>
                <w:vertAlign w:val="subscript"/>
              </w:rPr>
              <w:t>10</w:t>
            </w:r>
            <w:r w:rsidRPr="0097313B">
              <w:rPr>
                <w:rFonts w:cs="Arial"/>
                <w:sz w:val="20"/>
              </w:rPr>
              <w:t>)</w:t>
            </w:r>
          </w:p>
        </w:tc>
        <w:tc>
          <w:tcPr>
            <w:tcW w:w="5387" w:type="dxa"/>
          </w:tcPr>
          <w:p w14:paraId="4AC386AD" w14:textId="74A6E1D6"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40µg/m</w:t>
            </w:r>
            <w:r w:rsidRPr="0097313B">
              <w:rPr>
                <w:rFonts w:cs="Arial"/>
                <w:sz w:val="20"/>
                <w:vertAlign w:val="superscript"/>
              </w:rPr>
              <w:t>3</w:t>
            </w:r>
          </w:p>
        </w:tc>
        <w:tc>
          <w:tcPr>
            <w:tcW w:w="1829" w:type="dxa"/>
          </w:tcPr>
          <w:p w14:paraId="4A126A92"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Annual mean</w:t>
            </w:r>
          </w:p>
        </w:tc>
      </w:tr>
      <w:tr w:rsidR="00116356" w:rsidRPr="0097313B" w14:paraId="4FD8D371" w14:textId="77777777" w:rsidTr="006F2229">
        <w:trPr>
          <w:trHeight w:val="205"/>
        </w:trPr>
        <w:tc>
          <w:tcPr>
            <w:cnfStyle w:val="001000000000" w:firstRow="0" w:lastRow="0" w:firstColumn="1" w:lastColumn="0" w:oddVBand="0" w:evenVBand="0" w:oddHBand="0" w:evenHBand="0" w:firstRowFirstColumn="0" w:firstRowLastColumn="0" w:lastRowFirstColumn="0" w:lastRowLastColumn="0"/>
            <w:tcW w:w="2405" w:type="dxa"/>
          </w:tcPr>
          <w:p w14:paraId="76A643D2" w14:textId="77777777" w:rsidR="00116356" w:rsidRPr="0097313B" w:rsidRDefault="00116356"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6384B7AA" w14:textId="4132BB2A"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350µg/m</w:t>
            </w:r>
            <w:r w:rsidRPr="0097313B">
              <w:rPr>
                <w:rFonts w:cs="Arial"/>
                <w:sz w:val="20"/>
                <w:vertAlign w:val="superscript"/>
              </w:rPr>
              <w:t>3</w:t>
            </w:r>
            <w:r w:rsidRPr="0097313B">
              <w:rPr>
                <w:rFonts w:cs="Arial"/>
                <w:sz w:val="20"/>
              </w:rPr>
              <w:t>, not to be exceeded more than 24 times a year</w:t>
            </w:r>
          </w:p>
        </w:tc>
        <w:tc>
          <w:tcPr>
            <w:tcW w:w="1829" w:type="dxa"/>
          </w:tcPr>
          <w:p w14:paraId="7586CFA5"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1-hour mean</w:t>
            </w:r>
          </w:p>
        </w:tc>
      </w:tr>
      <w:tr w:rsidR="00116356" w:rsidRPr="0097313B" w14:paraId="65773D56" w14:textId="77777777" w:rsidTr="006F2229">
        <w:trPr>
          <w:trHeight w:val="203"/>
        </w:trPr>
        <w:tc>
          <w:tcPr>
            <w:cnfStyle w:val="001000000000" w:firstRow="0" w:lastRow="0" w:firstColumn="1" w:lastColumn="0" w:oddVBand="0" w:evenVBand="0" w:oddHBand="0" w:evenHBand="0" w:firstRowFirstColumn="0" w:firstRowLastColumn="0" w:lastRowFirstColumn="0" w:lastRowLastColumn="0"/>
            <w:tcW w:w="2405" w:type="dxa"/>
          </w:tcPr>
          <w:p w14:paraId="4C348279" w14:textId="0AC62B8A" w:rsidR="00116356" w:rsidRPr="0097313B" w:rsidRDefault="006F2229"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157E2F6E" w14:textId="52430DCD"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125µg/m</w:t>
            </w:r>
            <w:r w:rsidRPr="0097313B">
              <w:rPr>
                <w:rFonts w:cs="Arial"/>
                <w:sz w:val="20"/>
                <w:vertAlign w:val="superscript"/>
              </w:rPr>
              <w:t>3</w:t>
            </w:r>
            <w:r w:rsidRPr="0097313B">
              <w:rPr>
                <w:rFonts w:cs="Arial"/>
                <w:sz w:val="20"/>
              </w:rPr>
              <w:t>, not to be exceeded more than 3 times a year</w:t>
            </w:r>
          </w:p>
        </w:tc>
        <w:tc>
          <w:tcPr>
            <w:tcW w:w="1829" w:type="dxa"/>
          </w:tcPr>
          <w:p w14:paraId="24EE4FC7"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24-hour mean</w:t>
            </w:r>
          </w:p>
        </w:tc>
      </w:tr>
      <w:tr w:rsidR="00116356" w:rsidRPr="0097313B" w14:paraId="75F43C09" w14:textId="77777777" w:rsidTr="006F2229">
        <w:trPr>
          <w:trHeight w:val="203"/>
        </w:trPr>
        <w:tc>
          <w:tcPr>
            <w:cnfStyle w:val="001000000000" w:firstRow="0" w:lastRow="0" w:firstColumn="1" w:lastColumn="0" w:oddVBand="0" w:evenVBand="0" w:oddHBand="0" w:evenHBand="0" w:firstRowFirstColumn="0" w:firstRowLastColumn="0" w:lastRowFirstColumn="0" w:lastRowLastColumn="0"/>
            <w:tcW w:w="2405" w:type="dxa"/>
          </w:tcPr>
          <w:p w14:paraId="2A79075A" w14:textId="6F810193" w:rsidR="00116356" w:rsidRPr="0097313B" w:rsidRDefault="006F2229"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001BCBE2" w14:textId="71755F9D"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266µg/m</w:t>
            </w:r>
            <w:r w:rsidRPr="0097313B">
              <w:rPr>
                <w:rFonts w:cs="Arial"/>
                <w:sz w:val="20"/>
                <w:vertAlign w:val="superscript"/>
              </w:rPr>
              <w:t>3</w:t>
            </w:r>
            <w:r w:rsidRPr="0097313B">
              <w:rPr>
                <w:rFonts w:cs="Arial"/>
                <w:sz w:val="20"/>
              </w:rPr>
              <w:t>, not to be exceeded more than 35 times a year</w:t>
            </w:r>
          </w:p>
        </w:tc>
        <w:tc>
          <w:tcPr>
            <w:tcW w:w="1829" w:type="dxa"/>
          </w:tcPr>
          <w:p w14:paraId="45695BD1"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15-minute mean</w:t>
            </w:r>
          </w:p>
        </w:tc>
      </w:tr>
    </w:tbl>
    <w:p w14:paraId="72FAC438" w14:textId="77777777" w:rsidR="006F2229" w:rsidRPr="00F1472B" w:rsidRDefault="006F2229" w:rsidP="00400B0F"/>
    <w:p w14:paraId="430A5426" w14:textId="77777777" w:rsidR="00F1472B" w:rsidRPr="00F1472B" w:rsidRDefault="00F1472B" w:rsidP="00400B0F">
      <w:pPr>
        <w:sectPr w:rsidR="00F1472B" w:rsidRPr="00F1472B" w:rsidSect="003172A5">
          <w:footerReference w:type="default" r:id="rId67"/>
          <w:footerReference w:type="first" r:id="rId68"/>
          <w:pgSz w:w="11899" w:h="16838" w:code="9"/>
          <w:pgMar w:top="1134" w:right="1134" w:bottom="1134" w:left="1134" w:header="340" w:footer="340" w:gutter="0"/>
          <w:cols w:space="708"/>
          <w:docGrid w:linePitch="326"/>
        </w:sectPr>
      </w:pPr>
    </w:p>
    <w:p w14:paraId="257CB180" w14:textId="431F00AD" w:rsidR="00647227" w:rsidRDefault="00647227" w:rsidP="00647227">
      <w:pPr>
        <w:pStyle w:val="Heading1"/>
        <w:numPr>
          <w:ilvl w:val="0"/>
          <w:numId w:val="0"/>
        </w:numPr>
        <w:ind w:left="432" w:hanging="432"/>
      </w:pPr>
      <w:bookmarkStart w:id="141" w:name="_Toc75438402"/>
      <w:r>
        <w:t>Appendix F:</w:t>
      </w:r>
      <w:r w:rsidRPr="00586587">
        <w:t xml:space="preserve"> </w:t>
      </w:r>
      <w:r w:rsidRPr="00A1229F">
        <w:t>I</w:t>
      </w:r>
      <w:r>
        <w:t>mpact</w:t>
      </w:r>
      <w:r w:rsidRPr="00A1229F">
        <w:t xml:space="preserve"> of COVID-19 </w:t>
      </w:r>
      <w:r>
        <w:t>u</w:t>
      </w:r>
      <w:r w:rsidRPr="00A1229F">
        <w:t xml:space="preserve">pon </w:t>
      </w:r>
      <w:r>
        <w:t>LAQM</w:t>
      </w:r>
      <w:bookmarkEnd w:id="141"/>
    </w:p>
    <w:p w14:paraId="73EBFA91" w14:textId="77777777" w:rsidR="002D5EAF" w:rsidRDefault="002D5EAF" w:rsidP="002D5EAF">
      <w:r>
        <w:t>COVID-19 has had a significant impact on society. Inevitably, COVID-19 has also had an impact on the environment, with implications to air quality at local, regional and national scales.</w:t>
      </w:r>
    </w:p>
    <w:p w14:paraId="59089DE8" w14:textId="5741187C" w:rsidR="00342072" w:rsidRDefault="002D5EAF" w:rsidP="002D5EAF">
      <w:r>
        <w:t>COVID-19 has presented various challenges for Local Authorities with respect to undertaking their statutory LAQM duties in the 2021 reporting year. Recognising this, Defra provided various advice updates throughout 2020 to English authorities, particularly concerning the potential disruption to air quality monitoring programmes, implementation of Air Quality Action Plans (AQAPs) and LAQM statutory reporting requirements. Defra has also issued supplementary guidance for LAQM reporting in 2021 to assist local authorities in preparing their 2021 ASR. Where applicable, this advice has been followed.</w:t>
      </w:r>
    </w:p>
    <w:p w14:paraId="6A1BE1FD" w14:textId="3C695614" w:rsidR="002D5EAF" w:rsidRPr="002D5EAF" w:rsidRDefault="002D5EAF" w:rsidP="002D5EAF">
      <w:pPr>
        <w:rPr>
          <w:szCs w:val="24"/>
        </w:rPr>
      </w:pPr>
      <w:r w:rsidRPr="002D5EAF">
        <w:rPr>
          <w:szCs w:val="24"/>
        </w:rPr>
        <w:t>Despite the challenges that the pandemic has given rise to, the events of 2020 have also provided Local Authorities with an opportunity to quantify the air quality impacts associated with wide-scale and extreme intervention, most notably in relation to emissions of air pollutants arising from road traffic. The vast majority (&gt;95%) of AQMAs declared within the UK are related to road traffic emissions, where attainment of the annual mean objective for nitrogen dioxide (NO</w:t>
      </w:r>
      <w:r w:rsidRPr="002D5EAF">
        <w:rPr>
          <w:szCs w:val="24"/>
          <w:vertAlign w:val="subscript"/>
        </w:rPr>
        <w:t>2</w:t>
      </w:r>
      <w:r w:rsidRPr="002D5EAF">
        <w:rPr>
          <w:szCs w:val="24"/>
        </w:rPr>
        <w:t>) is considered unlikely. On 23rd March 2020, the UK Government released official guidance advising all members of public to stay at home, with work-related travel only permitted when absolutely necessary. During this initial national lockdown (and to a lesser extent other national and regional lockdowns that followed), marked reductions in vehicle traffic were observed; Department for Transport (DfT) data</w:t>
      </w:r>
      <w:r w:rsidRPr="002D5EAF">
        <w:rPr>
          <w:rStyle w:val="FootnoteReference"/>
          <w:szCs w:val="24"/>
        </w:rPr>
        <w:footnoteReference w:id="13"/>
      </w:r>
      <w:r w:rsidRPr="002D5EAF">
        <w:rPr>
          <w:szCs w:val="24"/>
        </w:rPr>
        <w:t xml:space="preserve"> suggests reductions in vehicle traffic of up to 70% were experienced across the UK by mid-April</w:t>
      </w:r>
      <w:r w:rsidR="00D121D6">
        <w:rPr>
          <w:szCs w:val="24"/>
        </w:rPr>
        <w:t>,</w:t>
      </w:r>
      <w:r w:rsidRPr="002D5EAF">
        <w:rPr>
          <w:szCs w:val="24"/>
        </w:rPr>
        <w:t xml:space="preserve"> relative to pre COVID-19 levels.</w:t>
      </w:r>
    </w:p>
    <w:p w14:paraId="4AB99AAD" w14:textId="77777777" w:rsidR="002D5EAF" w:rsidRPr="002D5EAF" w:rsidRDefault="002D5EAF" w:rsidP="002D5EAF">
      <w:pPr>
        <w:rPr>
          <w:szCs w:val="24"/>
        </w:rPr>
      </w:pPr>
      <w:r w:rsidRPr="002D5EAF">
        <w:rPr>
          <w:szCs w:val="24"/>
        </w:rPr>
        <w:t>This reduction in travel in turn gave rise to a change of air pollutant emissions associated with road traffic, i.e. nitrous oxides (NO</w:t>
      </w:r>
      <w:r w:rsidRPr="002D5EAF">
        <w:rPr>
          <w:szCs w:val="24"/>
          <w:vertAlign w:val="subscript"/>
        </w:rPr>
        <w:t>x</w:t>
      </w:r>
      <w:r w:rsidRPr="002D5EAF">
        <w:rPr>
          <w:szCs w:val="24"/>
        </w:rPr>
        <w:t>), and exhaust and non-exhaust particulates (PM). The Air Quality Expert Group (AQEG)</w:t>
      </w:r>
      <w:r w:rsidRPr="002D5EAF">
        <w:rPr>
          <w:rStyle w:val="FootnoteReference"/>
          <w:szCs w:val="24"/>
        </w:rPr>
        <w:footnoteReference w:id="14"/>
      </w:r>
      <w:r w:rsidRPr="002D5EAF">
        <w:rPr>
          <w:szCs w:val="24"/>
        </w:rPr>
        <w:t xml:space="preserve"> has estimated that during the initial lockdown period in 2020, within urbanised areas of the UK reductions in NO</w:t>
      </w:r>
      <w:r w:rsidRPr="002D5EAF">
        <w:rPr>
          <w:szCs w:val="24"/>
          <w:vertAlign w:val="subscript"/>
        </w:rPr>
        <w:t>2</w:t>
      </w:r>
      <w:r w:rsidRPr="002D5EAF">
        <w:rPr>
          <w:szCs w:val="24"/>
        </w:rPr>
        <w:t xml:space="preserve"> annual mean concentrations were between 20 and 30% relative to pre-pandemic levels, which represents an absolute reduction of between 10 to 20</w:t>
      </w:r>
      <w:r w:rsidRPr="002D5EAF">
        <w:rPr>
          <w:rFonts w:cstheme="minorHAnsi"/>
          <w:szCs w:val="24"/>
        </w:rPr>
        <w:t>µ</w:t>
      </w:r>
      <w:r w:rsidRPr="002D5EAF">
        <w:rPr>
          <w:szCs w:val="24"/>
        </w:rPr>
        <w:t>g/m</w:t>
      </w:r>
      <w:r w:rsidRPr="002D5EAF">
        <w:rPr>
          <w:szCs w:val="24"/>
          <w:vertAlign w:val="superscript"/>
        </w:rPr>
        <w:t>3</w:t>
      </w:r>
      <w:r w:rsidRPr="002D5EAF">
        <w:rPr>
          <w:szCs w:val="24"/>
        </w:rPr>
        <w:t xml:space="preserve"> if expressed relative to annual mean averages. During this period, changes in PM</w:t>
      </w:r>
      <w:r w:rsidRPr="002D5EAF">
        <w:rPr>
          <w:szCs w:val="24"/>
          <w:vertAlign w:val="subscript"/>
        </w:rPr>
        <w:t>2.5</w:t>
      </w:r>
      <w:r w:rsidRPr="002D5EAF">
        <w:rPr>
          <w:szCs w:val="24"/>
        </w:rPr>
        <w:t xml:space="preserve"> concentrations were less marked than those of NO</w:t>
      </w:r>
      <w:r w:rsidRPr="002D5EAF">
        <w:rPr>
          <w:szCs w:val="24"/>
          <w:vertAlign w:val="subscript"/>
        </w:rPr>
        <w:t>2</w:t>
      </w:r>
      <w:r w:rsidRPr="002D5EAF">
        <w:rPr>
          <w:szCs w:val="24"/>
        </w:rPr>
        <w:t>. PM</w:t>
      </w:r>
      <w:r w:rsidRPr="002D5EAF">
        <w:rPr>
          <w:szCs w:val="24"/>
          <w:vertAlign w:val="subscript"/>
        </w:rPr>
        <w:t>2.5</w:t>
      </w:r>
      <w:r w:rsidRPr="002D5EAF">
        <w:rPr>
          <w:szCs w:val="24"/>
        </w:rPr>
        <w:t xml:space="preserve"> concentrations are affected by both local sources and the transport of pollution from wider regions, often from well beyond the UK. Through analysis of AURN monitoring data for 2018-2020, AQEG have detailed that PM</w:t>
      </w:r>
      <w:r w:rsidRPr="002D5EAF">
        <w:rPr>
          <w:szCs w:val="24"/>
          <w:vertAlign w:val="subscript"/>
        </w:rPr>
        <w:t>2.5</w:t>
      </w:r>
      <w:r w:rsidRPr="002D5EAF">
        <w:rPr>
          <w:szCs w:val="24"/>
        </w:rPr>
        <w:t xml:space="preserve"> concentrations during the initial lockdown period are of the order 2 to 5</w:t>
      </w:r>
      <w:r w:rsidRPr="002D5EAF">
        <w:rPr>
          <w:rFonts w:cstheme="minorHAnsi"/>
          <w:szCs w:val="24"/>
        </w:rPr>
        <w:t>µ</w:t>
      </w:r>
      <w:r w:rsidRPr="002D5EAF">
        <w:rPr>
          <w:szCs w:val="24"/>
        </w:rPr>
        <w:t>g/m</w:t>
      </w:r>
      <w:r w:rsidRPr="002D5EAF">
        <w:rPr>
          <w:szCs w:val="24"/>
          <w:vertAlign w:val="superscript"/>
        </w:rPr>
        <w:t>3</w:t>
      </w:r>
      <w:r w:rsidRPr="002D5EAF">
        <w:rPr>
          <w:szCs w:val="24"/>
        </w:rPr>
        <w:t xml:space="preserve"> lower relative to those that would be expected under business-as-usual conditions.</w:t>
      </w:r>
    </w:p>
    <w:p w14:paraId="4D6FAAAD" w14:textId="35D493DA" w:rsidR="002D5EAF" w:rsidRPr="002D5EAF" w:rsidRDefault="002D5EAF" w:rsidP="002D5EAF">
      <w:pPr>
        <w:rPr>
          <w:szCs w:val="24"/>
        </w:rPr>
      </w:pPr>
      <w:r w:rsidRPr="002D5EAF">
        <w:rPr>
          <w:szCs w:val="24"/>
        </w:rPr>
        <w:t>As restrictions are gradually lifted, the challenge is to understand how these air quality improvements can benefit the long-term health of the population.</w:t>
      </w:r>
    </w:p>
    <w:p w14:paraId="77554142" w14:textId="34B1AD6D" w:rsidR="002D5EAF" w:rsidRDefault="002D5EAF" w:rsidP="0062374A">
      <w:pPr>
        <w:pStyle w:val="Heading2"/>
      </w:pPr>
      <w:bookmarkStart w:id="142" w:name="_Toc75438403"/>
      <w:r>
        <w:t>Impacts of COVID-19 on Air Quality within</w:t>
      </w:r>
      <w:r w:rsidR="00B4691A">
        <w:t xml:space="preserve"> South Tyneside</w:t>
      </w:r>
      <w:bookmarkEnd w:id="142"/>
      <w:r>
        <w:t xml:space="preserve"> </w:t>
      </w:r>
    </w:p>
    <w:p w14:paraId="1F56F22F" w14:textId="46815107" w:rsidR="00751B6F" w:rsidRPr="00751B6F" w:rsidRDefault="00751B6F" w:rsidP="00F87AA6">
      <w:pPr>
        <w:pStyle w:val="Heading3"/>
        <w:numPr>
          <w:ilvl w:val="0"/>
          <w:numId w:val="0"/>
        </w:numPr>
      </w:pPr>
      <w:bookmarkStart w:id="143" w:name="_Toc75438404"/>
      <w:r>
        <w:t xml:space="preserve">Non continuous monitoring </w:t>
      </w:r>
      <w:r w:rsidR="00F87AA6">
        <w:t>stations</w:t>
      </w:r>
      <w:bookmarkEnd w:id="143"/>
    </w:p>
    <w:p w14:paraId="5117B5F0" w14:textId="77777777" w:rsidR="00FC5199" w:rsidRDefault="00FC5199" w:rsidP="00FC5199">
      <w:pPr>
        <w:pStyle w:val="ListParagraph"/>
        <w:numPr>
          <w:ilvl w:val="0"/>
          <w:numId w:val="41"/>
        </w:numPr>
        <w:rPr>
          <w:rFonts w:eastAsia="Times New Roman"/>
          <w:color w:val="FF0000"/>
          <w:szCs w:val="24"/>
        </w:rPr>
      </w:pPr>
      <w:r>
        <w:rPr>
          <w:rFonts w:eastAsia="Times New Roman"/>
        </w:rPr>
        <w:t>There was an average 23% reduction of annual mean NO</w:t>
      </w:r>
      <w:r>
        <w:rPr>
          <w:rFonts w:eastAsia="Times New Roman"/>
          <w:vertAlign w:val="subscript"/>
        </w:rPr>
        <w:t>2</w:t>
      </w:r>
      <w:r>
        <w:rPr>
          <w:rFonts w:eastAsia="Times New Roman"/>
        </w:rPr>
        <w:t xml:space="preserve"> concentrations of diffusion tubes DT17-DT26 2020 relative to 2019 at Lindisfarne roundabout/ Leam Lane AQMA.  The average annual concentration level of (DT17-26) in 2020 is 21.86µg/m³ as compared to 28.66µg/m³ in 2019.</w:t>
      </w:r>
    </w:p>
    <w:p w14:paraId="15AB8A76" w14:textId="77777777" w:rsidR="00FC5199" w:rsidRDefault="00FC5199" w:rsidP="00FC5199">
      <w:pPr>
        <w:pStyle w:val="ListParagraph"/>
        <w:rPr>
          <w:rFonts w:eastAsiaTheme="minorHAnsi"/>
          <w:color w:val="FF0000"/>
        </w:rPr>
      </w:pPr>
    </w:p>
    <w:p w14:paraId="25F0E9E8" w14:textId="6A0E569A" w:rsidR="001D7337" w:rsidRPr="00F87AA6" w:rsidRDefault="00FC5199" w:rsidP="001D7337">
      <w:pPr>
        <w:pStyle w:val="ListParagraph"/>
        <w:numPr>
          <w:ilvl w:val="0"/>
          <w:numId w:val="41"/>
        </w:numPr>
        <w:rPr>
          <w:rFonts w:eastAsia="Times New Roman"/>
          <w:color w:val="FF0000"/>
        </w:rPr>
      </w:pPr>
      <w:r>
        <w:rPr>
          <w:rFonts w:eastAsia="Times New Roman"/>
        </w:rPr>
        <w:t>There was an average 28% reduction of annual mean NO</w:t>
      </w:r>
      <w:r>
        <w:rPr>
          <w:rFonts w:eastAsia="Times New Roman"/>
          <w:vertAlign w:val="subscript"/>
        </w:rPr>
        <w:t>2</w:t>
      </w:r>
      <w:r>
        <w:rPr>
          <w:rFonts w:eastAsia="Times New Roman"/>
        </w:rPr>
        <w:t xml:space="preserve"> concentrations of diffusion tubes DT29-DT31 2020 relative to 2019 at </w:t>
      </w:r>
      <w:proofErr w:type="spellStart"/>
      <w:r>
        <w:rPr>
          <w:rFonts w:eastAsia="Times New Roman"/>
        </w:rPr>
        <w:t>Boldon</w:t>
      </w:r>
      <w:proofErr w:type="spellEnd"/>
      <w:r>
        <w:rPr>
          <w:rFonts w:eastAsia="Times New Roman"/>
        </w:rPr>
        <w:t xml:space="preserve"> Lane AQMA.  The average annual concentration level of (DT29-31) in 2020 is 22.06µg/m³ as compared to 31.03 µg/m³ in 2019.</w:t>
      </w:r>
    </w:p>
    <w:p w14:paraId="431D42B6" w14:textId="5E36C720" w:rsidR="00F87AA6" w:rsidRDefault="00F87AA6" w:rsidP="00F87AA6">
      <w:pPr>
        <w:pStyle w:val="Heading3"/>
        <w:numPr>
          <w:ilvl w:val="0"/>
          <w:numId w:val="0"/>
        </w:numPr>
        <w:ind w:left="720" w:hanging="720"/>
      </w:pPr>
      <w:bookmarkStart w:id="144" w:name="_Toc75438405"/>
      <w:r>
        <w:t>Continuous monitoring stations.</w:t>
      </w:r>
      <w:bookmarkEnd w:id="144"/>
    </w:p>
    <w:p w14:paraId="2DEFC6A9" w14:textId="10B18D64" w:rsidR="00EC58A3" w:rsidRDefault="00EC58A3" w:rsidP="00327FA3">
      <w:pPr>
        <w:pStyle w:val="ListParagraph"/>
        <w:numPr>
          <w:ilvl w:val="0"/>
          <w:numId w:val="47"/>
        </w:numPr>
      </w:pPr>
      <w:r>
        <w:t>There were large decreases in N02 concentrations at our three continuous monitoring stations due to the March 2020 lockdown. However, there is usually a large decrease between March and April at the start of spring.</w:t>
      </w:r>
      <w:r w:rsidR="001A4BE3">
        <w:t xml:space="preserve"> T</w:t>
      </w:r>
      <w:r w:rsidR="00F644FB">
        <w:t xml:space="preserve">he </w:t>
      </w:r>
      <w:r w:rsidR="00E7333C">
        <w:t xml:space="preserve">effect of the lockdown can therefore be estimated by comparing the change between </w:t>
      </w:r>
      <w:r w:rsidR="001A4BE3">
        <w:t>March and April 2020 with the expected change.</w:t>
      </w:r>
    </w:p>
    <w:p w14:paraId="0689F16D" w14:textId="6AFC11A8" w:rsidR="001A4BE3" w:rsidRDefault="001A4BE3" w:rsidP="00327FA3">
      <w:pPr>
        <w:pStyle w:val="ListParagraph"/>
        <w:numPr>
          <w:ilvl w:val="0"/>
          <w:numId w:val="47"/>
        </w:numPr>
      </w:pPr>
      <w:r>
        <w:t>After correcting for the expected change:</w:t>
      </w:r>
    </w:p>
    <w:p w14:paraId="633E598F" w14:textId="3FC11D10" w:rsidR="001C6514" w:rsidRDefault="00061961" w:rsidP="001C6514">
      <w:pPr>
        <w:pStyle w:val="ListParagraph"/>
        <w:numPr>
          <w:ilvl w:val="1"/>
          <w:numId w:val="47"/>
        </w:numPr>
      </w:pPr>
      <w:r>
        <w:t xml:space="preserve">The percentage decreases in concentrations at </w:t>
      </w:r>
      <w:proofErr w:type="spellStart"/>
      <w:r>
        <w:t>Boldon</w:t>
      </w:r>
      <w:proofErr w:type="spellEnd"/>
      <w:r>
        <w:t xml:space="preserve"> Lane </w:t>
      </w:r>
      <w:r w:rsidR="0074274A">
        <w:t>were similar to the average for the region and England.</w:t>
      </w:r>
    </w:p>
    <w:p w14:paraId="6E84D83C" w14:textId="29B81E34" w:rsidR="0074274A" w:rsidRDefault="0074274A" w:rsidP="001C6514">
      <w:pPr>
        <w:pStyle w:val="ListParagraph"/>
        <w:numPr>
          <w:ilvl w:val="1"/>
          <w:numId w:val="47"/>
        </w:numPr>
      </w:pPr>
      <w:r>
        <w:t>The percentage decreases in concentrations at Edinburgh Road were greater than average for the region and England</w:t>
      </w:r>
    </w:p>
    <w:p w14:paraId="18110245" w14:textId="74D62A4C" w:rsidR="00F87AA6" w:rsidRPr="00F87AA6" w:rsidRDefault="0074274A" w:rsidP="009531C6">
      <w:pPr>
        <w:pStyle w:val="ListParagraph"/>
        <w:numPr>
          <w:ilvl w:val="1"/>
          <w:numId w:val="47"/>
        </w:numPr>
      </w:pPr>
      <w:r>
        <w:t xml:space="preserve">The percentage decreases at Tyne Dock were much greater </w:t>
      </w:r>
      <w:r w:rsidR="0018032F">
        <w:t>than the average for the region and England.</w:t>
      </w:r>
    </w:p>
    <w:p w14:paraId="195109BD" w14:textId="058D2050" w:rsidR="001D7337" w:rsidRPr="001D7337" w:rsidRDefault="00A92A99" w:rsidP="00A92A99">
      <w:pPr>
        <w:pStyle w:val="Heading3"/>
        <w:numPr>
          <w:ilvl w:val="0"/>
          <w:numId w:val="0"/>
        </w:numPr>
      </w:pPr>
      <w:bookmarkStart w:id="145" w:name="_Toc75438406"/>
      <w:r>
        <w:t>L</w:t>
      </w:r>
      <w:r w:rsidR="001D7337">
        <w:t>indisfarne Roundabout/ Leam Lane AQMA traffic levels</w:t>
      </w:r>
      <w:bookmarkEnd w:id="145"/>
    </w:p>
    <w:p w14:paraId="2F45E942" w14:textId="77777777" w:rsidR="00FC5199" w:rsidRPr="00477D17" w:rsidRDefault="00FC5199" w:rsidP="00477D17">
      <w:pPr>
        <w:rPr>
          <w:rFonts w:eastAsia="Times New Roman"/>
          <w:color w:val="000000"/>
        </w:rPr>
      </w:pPr>
      <w:r w:rsidRPr="00477D17">
        <w:rPr>
          <w:rFonts w:eastAsia="Times New Roman"/>
          <w:color w:val="000000"/>
        </w:rPr>
        <w:t>Traffic has so far increased by an average of 5% over pre-Covid levels in the area of the Lindisfarne roundabout / Leam Lane AQMA:</w:t>
      </w:r>
    </w:p>
    <w:p w14:paraId="28125F25" w14:textId="77777777" w:rsidR="00FC5199" w:rsidRPr="00FC5199" w:rsidRDefault="00FC5199" w:rsidP="00FC5199">
      <w:pPr>
        <w:pStyle w:val="ListParagraph"/>
        <w:numPr>
          <w:ilvl w:val="1"/>
          <w:numId w:val="41"/>
        </w:numPr>
        <w:rPr>
          <w:rFonts w:eastAsiaTheme="minorHAnsi"/>
          <w:color w:val="000000"/>
        </w:rPr>
      </w:pPr>
      <w:r w:rsidRPr="00FC5199">
        <w:rPr>
          <w:color w:val="000000"/>
        </w:rPr>
        <w:t>Pre-Covid (February 2020)</w:t>
      </w:r>
    </w:p>
    <w:p w14:paraId="63D8E3EF" w14:textId="77777777" w:rsidR="00FC5199" w:rsidRDefault="00FC5199" w:rsidP="00FC5199">
      <w:pPr>
        <w:pStyle w:val="ListParagraph"/>
        <w:numPr>
          <w:ilvl w:val="0"/>
          <w:numId w:val="41"/>
        </w:numPr>
        <w:spacing w:before="0" w:after="0" w:line="240" w:lineRule="auto"/>
        <w:rPr>
          <w:color w:val="000000"/>
        </w:rPr>
      </w:pPr>
      <w:r>
        <w:rPr>
          <w:color w:val="000000"/>
        </w:rPr>
        <w:t>Average Daily Flow (Total) = 21,730</w:t>
      </w:r>
    </w:p>
    <w:p w14:paraId="12AD2B55" w14:textId="77777777" w:rsidR="00FC5199" w:rsidRDefault="00FC5199" w:rsidP="00FC5199">
      <w:pPr>
        <w:pStyle w:val="ListParagraph"/>
        <w:numPr>
          <w:ilvl w:val="0"/>
          <w:numId w:val="41"/>
        </w:numPr>
        <w:spacing w:before="0" w:after="0" w:line="240" w:lineRule="auto"/>
        <w:rPr>
          <w:color w:val="000000"/>
        </w:rPr>
      </w:pPr>
      <w:r>
        <w:rPr>
          <w:color w:val="000000"/>
        </w:rPr>
        <w:t>Average Daily Flow (Eastbound) = 10,897</w:t>
      </w:r>
    </w:p>
    <w:p w14:paraId="186417C0" w14:textId="262DB166" w:rsidR="00FC5199" w:rsidRDefault="00FC5199" w:rsidP="00FC5199">
      <w:pPr>
        <w:pStyle w:val="ListParagraph"/>
        <w:numPr>
          <w:ilvl w:val="0"/>
          <w:numId w:val="41"/>
        </w:numPr>
        <w:spacing w:before="0" w:after="0" w:line="240" w:lineRule="auto"/>
        <w:rPr>
          <w:color w:val="000000"/>
        </w:rPr>
      </w:pPr>
      <w:r>
        <w:rPr>
          <w:color w:val="000000"/>
        </w:rPr>
        <w:t>Average Daily Flow (Westbound) = 10,838</w:t>
      </w:r>
    </w:p>
    <w:p w14:paraId="41FB525E" w14:textId="77777777" w:rsidR="00160136" w:rsidRDefault="00160136" w:rsidP="00FC5199">
      <w:pPr>
        <w:pStyle w:val="ListParagraph"/>
        <w:numPr>
          <w:ilvl w:val="0"/>
          <w:numId w:val="41"/>
        </w:numPr>
        <w:spacing w:before="0" w:after="0" w:line="240" w:lineRule="auto"/>
        <w:rPr>
          <w:color w:val="000000"/>
        </w:rPr>
      </w:pPr>
    </w:p>
    <w:p w14:paraId="52EFD93F" w14:textId="77777777" w:rsidR="00FC5199" w:rsidRPr="00FC5199" w:rsidRDefault="00FC5199" w:rsidP="00FC5199">
      <w:pPr>
        <w:pStyle w:val="ListParagraph"/>
        <w:numPr>
          <w:ilvl w:val="1"/>
          <w:numId w:val="41"/>
        </w:numPr>
        <w:rPr>
          <w:color w:val="000000"/>
        </w:rPr>
      </w:pPr>
      <w:r w:rsidRPr="00FC5199">
        <w:rPr>
          <w:color w:val="000000"/>
        </w:rPr>
        <w:t>Post-Covid (10-12 May 2021)</w:t>
      </w:r>
    </w:p>
    <w:p w14:paraId="566E1E14" w14:textId="77777777" w:rsidR="00FC5199" w:rsidRDefault="00FC5199" w:rsidP="00FC5199">
      <w:pPr>
        <w:pStyle w:val="ListParagraph"/>
        <w:numPr>
          <w:ilvl w:val="0"/>
          <w:numId w:val="41"/>
        </w:numPr>
        <w:spacing w:before="0" w:after="0" w:line="240" w:lineRule="auto"/>
        <w:rPr>
          <w:color w:val="000000"/>
        </w:rPr>
      </w:pPr>
      <w:r>
        <w:rPr>
          <w:color w:val="000000"/>
        </w:rPr>
        <w:t>Average Daily Flow (Total) = 22,780</w:t>
      </w:r>
    </w:p>
    <w:p w14:paraId="5984B716" w14:textId="77777777" w:rsidR="00FC5199" w:rsidRDefault="00FC5199" w:rsidP="00FC5199">
      <w:pPr>
        <w:pStyle w:val="ListParagraph"/>
        <w:numPr>
          <w:ilvl w:val="0"/>
          <w:numId w:val="41"/>
        </w:numPr>
        <w:spacing w:before="0" w:after="0" w:line="240" w:lineRule="auto"/>
        <w:rPr>
          <w:color w:val="000000"/>
        </w:rPr>
      </w:pPr>
      <w:r>
        <w:rPr>
          <w:color w:val="000000"/>
        </w:rPr>
        <w:t>Average Daily Flow (Eastbound) = 11,412</w:t>
      </w:r>
    </w:p>
    <w:p w14:paraId="5370AE51" w14:textId="77777777" w:rsidR="00FC5199" w:rsidRDefault="00FC5199" w:rsidP="00FC5199">
      <w:pPr>
        <w:pStyle w:val="ListParagraph"/>
        <w:numPr>
          <w:ilvl w:val="0"/>
          <w:numId w:val="41"/>
        </w:numPr>
        <w:spacing w:before="0" w:after="0" w:line="240" w:lineRule="auto"/>
        <w:rPr>
          <w:color w:val="000000"/>
        </w:rPr>
      </w:pPr>
      <w:r>
        <w:rPr>
          <w:color w:val="000000"/>
        </w:rPr>
        <w:t>Average Daily Flow (Westbound) = 11,368</w:t>
      </w:r>
    </w:p>
    <w:p w14:paraId="4FBBD3B9" w14:textId="55DFF121" w:rsidR="001D7337" w:rsidRPr="00A92A99" w:rsidRDefault="001D7337" w:rsidP="00A92A99">
      <w:pPr>
        <w:pStyle w:val="Heading3"/>
        <w:numPr>
          <w:ilvl w:val="0"/>
          <w:numId w:val="0"/>
        </w:numPr>
      </w:pPr>
      <w:bookmarkStart w:id="146" w:name="_Toc75438407"/>
      <w:proofErr w:type="spellStart"/>
      <w:r w:rsidRPr="00A92A99">
        <w:t>Boldon</w:t>
      </w:r>
      <w:proofErr w:type="spellEnd"/>
      <w:r w:rsidRPr="00A92A99">
        <w:t xml:space="preserve"> Lane AQMA Traffic levels</w:t>
      </w:r>
      <w:bookmarkEnd w:id="146"/>
    </w:p>
    <w:p w14:paraId="316D896F" w14:textId="77777777" w:rsidR="00FC5199" w:rsidRPr="00477D17" w:rsidRDefault="00FC5199" w:rsidP="00477D17">
      <w:pPr>
        <w:rPr>
          <w:color w:val="000000"/>
        </w:rPr>
      </w:pPr>
      <w:r w:rsidRPr="00477D17">
        <w:rPr>
          <w:color w:val="000000"/>
        </w:rPr>
        <w:t xml:space="preserve">Traffic has so far increased by an average of 2% over pre-Covid levels in the area of the </w:t>
      </w:r>
      <w:proofErr w:type="spellStart"/>
      <w:r w:rsidRPr="00477D17">
        <w:rPr>
          <w:color w:val="000000"/>
        </w:rPr>
        <w:t>Boldon</w:t>
      </w:r>
      <w:proofErr w:type="spellEnd"/>
      <w:r w:rsidRPr="00477D17">
        <w:rPr>
          <w:color w:val="000000"/>
        </w:rPr>
        <w:t xml:space="preserve"> Lane AQMA:</w:t>
      </w:r>
    </w:p>
    <w:p w14:paraId="523E2C42" w14:textId="77777777" w:rsidR="00FC5199" w:rsidRPr="00FC5199" w:rsidRDefault="00FC5199" w:rsidP="00FC5199">
      <w:pPr>
        <w:pStyle w:val="ListParagraph"/>
        <w:numPr>
          <w:ilvl w:val="1"/>
          <w:numId w:val="41"/>
        </w:numPr>
        <w:rPr>
          <w:color w:val="000000"/>
        </w:rPr>
      </w:pPr>
      <w:r w:rsidRPr="00FC5199">
        <w:rPr>
          <w:color w:val="000000"/>
        </w:rPr>
        <w:t>Pre-Covid (February 2020)</w:t>
      </w:r>
    </w:p>
    <w:p w14:paraId="3634BE03" w14:textId="77777777" w:rsidR="00FC5199" w:rsidRDefault="00FC5199" w:rsidP="00FC5199">
      <w:pPr>
        <w:pStyle w:val="ListParagraph"/>
        <w:numPr>
          <w:ilvl w:val="0"/>
          <w:numId w:val="41"/>
        </w:numPr>
        <w:spacing w:before="0" w:after="0" w:line="240" w:lineRule="auto"/>
        <w:rPr>
          <w:color w:val="000000"/>
        </w:rPr>
      </w:pPr>
      <w:r>
        <w:rPr>
          <w:color w:val="000000"/>
        </w:rPr>
        <w:t>Average Daily Flow (Total) = 14,241</w:t>
      </w:r>
    </w:p>
    <w:p w14:paraId="206A515C" w14:textId="77777777" w:rsidR="00FC5199" w:rsidRDefault="00FC5199" w:rsidP="00FC5199">
      <w:pPr>
        <w:pStyle w:val="ListParagraph"/>
        <w:numPr>
          <w:ilvl w:val="0"/>
          <w:numId w:val="41"/>
        </w:numPr>
        <w:spacing w:before="0" w:after="0" w:line="240" w:lineRule="auto"/>
        <w:rPr>
          <w:color w:val="000000"/>
        </w:rPr>
      </w:pPr>
      <w:r>
        <w:rPr>
          <w:color w:val="000000"/>
        </w:rPr>
        <w:t>Average Daily Flow (Northbound) = 7,152</w:t>
      </w:r>
    </w:p>
    <w:p w14:paraId="29BFE8DA" w14:textId="55B3DC09" w:rsidR="00FC5199" w:rsidRDefault="00FC5199" w:rsidP="00FC5199">
      <w:pPr>
        <w:pStyle w:val="ListParagraph"/>
        <w:numPr>
          <w:ilvl w:val="0"/>
          <w:numId w:val="41"/>
        </w:numPr>
        <w:spacing w:before="0" w:after="0" w:line="240" w:lineRule="auto"/>
        <w:rPr>
          <w:color w:val="000000"/>
        </w:rPr>
      </w:pPr>
      <w:r>
        <w:rPr>
          <w:color w:val="000000"/>
        </w:rPr>
        <w:t>Average Daily Flow (Southbound) = 7,089</w:t>
      </w:r>
    </w:p>
    <w:p w14:paraId="700D15AA" w14:textId="77777777" w:rsidR="00160136" w:rsidRDefault="00160136" w:rsidP="00FC5199">
      <w:pPr>
        <w:pStyle w:val="ListParagraph"/>
        <w:numPr>
          <w:ilvl w:val="0"/>
          <w:numId w:val="41"/>
        </w:numPr>
        <w:spacing w:before="0" w:after="0" w:line="240" w:lineRule="auto"/>
        <w:rPr>
          <w:color w:val="000000"/>
        </w:rPr>
      </w:pPr>
    </w:p>
    <w:p w14:paraId="4254B00A" w14:textId="77777777" w:rsidR="00FC5199" w:rsidRPr="00FC5199" w:rsidRDefault="00FC5199" w:rsidP="00FC5199">
      <w:pPr>
        <w:pStyle w:val="ListParagraph"/>
        <w:numPr>
          <w:ilvl w:val="1"/>
          <w:numId w:val="41"/>
        </w:numPr>
        <w:rPr>
          <w:color w:val="000000"/>
        </w:rPr>
      </w:pPr>
      <w:r w:rsidRPr="00FC5199">
        <w:rPr>
          <w:color w:val="000000"/>
        </w:rPr>
        <w:t>Post-Covid (10-23 May 2021)</w:t>
      </w:r>
    </w:p>
    <w:p w14:paraId="45F235FE" w14:textId="77777777" w:rsidR="00FC5199" w:rsidRDefault="00FC5199" w:rsidP="00FC5199">
      <w:pPr>
        <w:pStyle w:val="ListParagraph"/>
        <w:numPr>
          <w:ilvl w:val="0"/>
          <w:numId w:val="41"/>
        </w:numPr>
        <w:spacing w:before="0" w:after="0" w:line="240" w:lineRule="auto"/>
        <w:rPr>
          <w:color w:val="000000"/>
        </w:rPr>
      </w:pPr>
      <w:r>
        <w:rPr>
          <w:color w:val="000000"/>
        </w:rPr>
        <w:t>Average Daily Flow (Total) = 14,540</w:t>
      </w:r>
    </w:p>
    <w:p w14:paraId="780E1A40" w14:textId="77777777" w:rsidR="00FC5199" w:rsidRDefault="00FC5199" w:rsidP="00FC5199">
      <w:pPr>
        <w:pStyle w:val="ListParagraph"/>
        <w:numPr>
          <w:ilvl w:val="0"/>
          <w:numId w:val="41"/>
        </w:numPr>
        <w:spacing w:before="0" w:after="0" w:line="240" w:lineRule="auto"/>
        <w:rPr>
          <w:color w:val="000000"/>
        </w:rPr>
      </w:pPr>
      <w:r>
        <w:rPr>
          <w:color w:val="000000"/>
        </w:rPr>
        <w:t>Average Daily Flow (Northbound) = 7,322</w:t>
      </w:r>
    </w:p>
    <w:p w14:paraId="5012064E" w14:textId="7483268D" w:rsidR="00FC5199" w:rsidRDefault="00FC5199" w:rsidP="00FC5199">
      <w:pPr>
        <w:pStyle w:val="ListParagraph"/>
        <w:numPr>
          <w:ilvl w:val="0"/>
          <w:numId w:val="41"/>
        </w:numPr>
        <w:spacing w:before="0" w:after="0" w:line="240" w:lineRule="auto"/>
        <w:rPr>
          <w:color w:val="000000"/>
        </w:rPr>
      </w:pPr>
      <w:r>
        <w:rPr>
          <w:color w:val="000000"/>
        </w:rPr>
        <w:t>Average Daily Flow (Southbound) = 7,218</w:t>
      </w:r>
    </w:p>
    <w:p w14:paraId="666AD460" w14:textId="77777777" w:rsidR="00477D17" w:rsidRDefault="00477D17" w:rsidP="00477D17">
      <w:pPr>
        <w:pStyle w:val="ListParagraph"/>
        <w:spacing w:before="0" w:after="0" w:line="240" w:lineRule="auto"/>
        <w:rPr>
          <w:color w:val="000000"/>
        </w:rPr>
      </w:pPr>
    </w:p>
    <w:p w14:paraId="5E88BE51" w14:textId="77777777" w:rsidR="00FC5199" w:rsidRDefault="00FC5199" w:rsidP="00FC5199">
      <w:pPr>
        <w:pStyle w:val="ListParagraph"/>
        <w:spacing w:before="0" w:after="0" w:line="240" w:lineRule="auto"/>
        <w:ind w:left="1276"/>
        <w:rPr>
          <w:color w:val="000000"/>
        </w:rPr>
      </w:pPr>
    </w:p>
    <w:p w14:paraId="3EFA1D6A" w14:textId="174AF522" w:rsidR="00FC5199" w:rsidRDefault="00FC5199" w:rsidP="00FC5199">
      <w:pPr>
        <w:pStyle w:val="ListParagraph"/>
        <w:numPr>
          <w:ilvl w:val="0"/>
          <w:numId w:val="41"/>
        </w:numPr>
        <w:jc w:val="both"/>
        <w:rPr>
          <w:rFonts w:eastAsia="Times New Roman"/>
        </w:rPr>
      </w:pPr>
      <w:r>
        <w:rPr>
          <w:rFonts w:eastAsia="Times New Roman"/>
        </w:rPr>
        <w:t>As observed, the concentration levels have reduced at both AQMA’s in 2020, it can be attributed to reduced traffic flows throughout this period due to lockdown restrictions.  As discussed in previous annual status reports levels pre pandemic have remained significantly lower that the annual limit value for NO</w:t>
      </w:r>
      <w:r>
        <w:rPr>
          <w:rFonts w:eastAsia="Times New Roman"/>
          <w:vertAlign w:val="subscript"/>
        </w:rPr>
        <w:t>2</w:t>
      </w:r>
      <w:r>
        <w:rPr>
          <w:rFonts w:eastAsia="Times New Roman"/>
        </w:rPr>
        <w:t xml:space="preserve"> 40 µg/m³ for this reason we have expressed our intention of revoking both AQMA’s.  </w:t>
      </w:r>
      <w:r w:rsidR="00477D17">
        <w:rPr>
          <w:rFonts w:eastAsia="Times New Roman"/>
        </w:rPr>
        <w:t>Unfortunately,</w:t>
      </w:r>
      <w:r>
        <w:rPr>
          <w:rFonts w:eastAsia="Times New Roman"/>
        </w:rPr>
        <w:t xml:space="preserve"> due to the pandemic we have been unable to progress with this work, however we will be starting the process this year and will provide updates in next year’s ASR.</w:t>
      </w:r>
    </w:p>
    <w:p w14:paraId="31AAD97E" w14:textId="77777777" w:rsidR="00812E94" w:rsidRPr="00812E94" w:rsidRDefault="00812E94" w:rsidP="00812E94">
      <w:pPr>
        <w:jc w:val="both"/>
        <w:rPr>
          <w:rFonts w:eastAsia="Times New Roman"/>
        </w:rPr>
      </w:pPr>
    </w:p>
    <w:p w14:paraId="15EFCD3B" w14:textId="1F519643" w:rsidR="002D5EAF" w:rsidRDefault="00FC5199" w:rsidP="00FC5199">
      <w:pPr>
        <w:pStyle w:val="Heading2"/>
      </w:pPr>
      <w:r>
        <w:t xml:space="preserve"> </w:t>
      </w:r>
      <w:bookmarkStart w:id="147" w:name="_Toc75438408"/>
      <w:r w:rsidR="002D5EAF">
        <w:t>Opportunities Presented by COVID-19 upon LAQM within</w:t>
      </w:r>
      <w:r w:rsidR="00434E72">
        <w:t xml:space="preserve"> South Tyneside</w:t>
      </w:r>
      <w:bookmarkEnd w:id="147"/>
    </w:p>
    <w:p w14:paraId="32A08B45" w14:textId="77777777" w:rsidR="00696DED" w:rsidRPr="00FE2126" w:rsidRDefault="00696DED" w:rsidP="00696DED">
      <w:pPr>
        <w:pStyle w:val="ListParagraph"/>
        <w:numPr>
          <w:ilvl w:val="0"/>
          <w:numId w:val="42"/>
        </w:numPr>
        <w:jc w:val="both"/>
        <w:rPr>
          <w:rFonts w:cs="Arial"/>
          <w:szCs w:val="24"/>
        </w:rPr>
      </w:pPr>
      <w:r w:rsidRPr="00FE2126">
        <w:rPr>
          <w:rFonts w:cs="Arial"/>
          <w:szCs w:val="24"/>
        </w:rPr>
        <w:t>Town Hall occupancy rates have reduced by 50%, with Council staff encouraged to work from home through an agile working policy. This has led to a considerable reduction in the pollutants associated with traffic when staff are travelling to work.</w:t>
      </w:r>
    </w:p>
    <w:p w14:paraId="540BB201" w14:textId="77777777" w:rsidR="00696DED" w:rsidRPr="00FE2126" w:rsidRDefault="00696DED" w:rsidP="00696DED">
      <w:pPr>
        <w:pStyle w:val="ListParagraph"/>
        <w:numPr>
          <w:ilvl w:val="0"/>
          <w:numId w:val="42"/>
        </w:numPr>
        <w:jc w:val="both"/>
        <w:rPr>
          <w:rFonts w:cs="Arial"/>
          <w:szCs w:val="24"/>
        </w:rPr>
      </w:pPr>
      <w:r w:rsidRPr="00FE2126">
        <w:rPr>
          <w:rFonts w:cs="Arial"/>
          <w:szCs w:val="24"/>
        </w:rPr>
        <w:t>Last year, applications to the Council’s Cycle to Work scheme tripled compared to the previous year.</w:t>
      </w:r>
      <w:r>
        <w:rPr>
          <w:rFonts w:cs="Arial"/>
          <w:szCs w:val="24"/>
        </w:rPr>
        <w:t xml:space="preserve">  </w:t>
      </w:r>
      <w:r w:rsidRPr="00FE2126">
        <w:rPr>
          <w:rFonts w:cs="Arial"/>
          <w:szCs w:val="24"/>
        </w:rPr>
        <w:t>We had 100 cycle scheme applicants internally last year (3x increase since 2019)</w:t>
      </w:r>
    </w:p>
    <w:p w14:paraId="5FB8A555" w14:textId="77777777" w:rsidR="00696DED" w:rsidRPr="00FE2126" w:rsidRDefault="00696DED" w:rsidP="00696DED">
      <w:pPr>
        <w:pStyle w:val="PlainText"/>
        <w:numPr>
          <w:ilvl w:val="0"/>
          <w:numId w:val="42"/>
        </w:numPr>
        <w:spacing w:line="360" w:lineRule="auto"/>
        <w:rPr>
          <w:rFonts w:ascii="Arial" w:hAnsi="Arial" w:cs="Arial"/>
          <w:sz w:val="24"/>
          <w:szCs w:val="24"/>
        </w:rPr>
      </w:pPr>
      <w:r>
        <w:rPr>
          <w:rFonts w:ascii="Arial" w:hAnsi="Arial" w:cs="Arial"/>
          <w:sz w:val="24"/>
          <w:szCs w:val="24"/>
        </w:rPr>
        <w:t>The Local Authority have purchased a BMW</w:t>
      </w:r>
      <w:r w:rsidRPr="00FE2126">
        <w:rPr>
          <w:rFonts w:ascii="Arial" w:hAnsi="Arial" w:cs="Arial"/>
          <w:sz w:val="24"/>
          <w:szCs w:val="24"/>
        </w:rPr>
        <w:t xml:space="preserve"> I3</w:t>
      </w:r>
      <w:r>
        <w:rPr>
          <w:rFonts w:ascii="Arial" w:hAnsi="Arial" w:cs="Arial"/>
          <w:sz w:val="24"/>
          <w:szCs w:val="24"/>
        </w:rPr>
        <w:t>,</w:t>
      </w:r>
      <w:r w:rsidRPr="00FE2126">
        <w:rPr>
          <w:rFonts w:ascii="Arial" w:hAnsi="Arial" w:cs="Arial"/>
          <w:sz w:val="24"/>
          <w:szCs w:val="24"/>
        </w:rPr>
        <w:t xml:space="preserve"> since </w:t>
      </w:r>
      <w:r>
        <w:rPr>
          <w:rFonts w:ascii="Arial" w:hAnsi="Arial" w:cs="Arial"/>
          <w:sz w:val="24"/>
          <w:szCs w:val="24"/>
        </w:rPr>
        <w:t>the electrical vehicle has been commissioned and utilised by</w:t>
      </w:r>
      <w:r w:rsidRPr="00FE2126">
        <w:rPr>
          <w:rFonts w:ascii="Arial" w:hAnsi="Arial" w:cs="Arial"/>
          <w:sz w:val="24"/>
          <w:szCs w:val="24"/>
        </w:rPr>
        <w:t xml:space="preserve"> staff</w:t>
      </w:r>
      <w:r>
        <w:rPr>
          <w:rFonts w:ascii="Arial" w:hAnsi="Arial" w:cs="Arial"/>
          <w:sz w:val="24"/>
          <w:szCs w:val="24"/>
        </w:rPr>
        <w:t xml:space="preserve">, </w:t>
      </w:r>
      <w:r w:rsidRPr="00FE2126">
        <w:rPr>
          <w:rFonts w:ascii="Arial" w:hAnsi="Arial" w:cs="Arial"/>
          <w:sz w:val="24"/>
          <w:szCs w:val="24"/>
        </w:rPr>
        <w:t xml:space="preserve">710 miles and 78 hours’ worth of trips </w:t>
      </w:r>
      <w:r>
        <w:rPr>
          <w:rFonts w:ascii="Arial" w:hAnsi="Arial" w:cs="Arial"/>
          <w:sz w:val="24"/>
          <w:szCs w:val="24"/>
        </w:rPr>
        <w:t xml:space="preserve">have been made </w:t>
      </w:r>
      <w:r w:rsidRPr="00FE2126">
        <w:rPr>
          <w:rFonts w:ascii="Arial" w:hAnsi="Arial" w:cs="Arial"/>
          <w:sz w:val="24"/>
          <w:szCs w:val="24"/>
        </w:rPr>
        <w:t>across South Tyneside and the North East.</w:t>
      </w:r>
      <w:r w:rsidRPr="00FE2126">
        <w:rPr>
          <w:rFonts w:ascii="Arial" w:hAnsi="Arial" w:cs="Arial"/>
          <w:sz w:val="24"/>
          <w:szCs w:val="24"/>
        </w:rPr>
        <w:tab/>
      </w:r>
    </w:p>
    <w:p w14:paraId="49AB86F8" w14:textId="43ADFB73" w:rsidR="00696DED" w:rsidRDefault="00696DED" w:rsidP="00696DED">
      <w:pPr>
        <w:pStyle w:val="PlainText"/>
        <w:numPr>
          <w:ilvl w:val="0"/>
          <w:numId w:val="42"/>
        </w:numPr>
        <w:spacing w:line="360" w:lineRule="auto"/>
      </w:pPr>
      <w:r w:rsidRPr="00FE2126">
        <w:rPr>
          <w:rFonts w:ascii="Arial" w:hAnsi="Arial" w:cs="Arial"/>
          <w:sz w:val="24"/>
          <w:szCs w:val="24"/>
        </w:rPr>
        <w:t>We</w:t>
      </w:r>
      <w:r>
        <w:rPr>
          <w:rFonts w:ascii="Arial" w:hAnsi="Arial" w:cs="Arial"/>
          <w:sz w:val="24"/>
          <w:szCs w:val="24"/>
        </w:rPr>
        <w:t xml:space="preserve"> are about to launch </w:t>
      </w:r>
      <w:r w:rsidRPr="00FE2126">
        <w:rPr>
          <w:rFonts w:ascii="Arial" w:hAnsi="Arial" w:cs="Arial"/>
          <w:sz w:val="24"/>
          <w:szCs w:val="24"/>
        </w:rPr>
        <w:t xml:space="preserve">a car share </w:t>
      </w:r>
      <w:r>
        <w:rPr>
          <w:rFonts w:ascii="Arial" w:hAnsi="Arial" w:cs="Arial"/>
          <w:sz w:val="24"/>
          <w:szCs w:val="24"/>
        </w:rPr>
        <w:t>scheme for staff.  It is hoped that the scheme will reduce miles travelled by members of staff, thus improving emissions and providing a cost saving.</w:t>
      </w:r>
      <w:r>
        <w:t xml:space="preserve"> </w:t>
      </w:r>
    </w:p>
    <w:p w14:paraId="2E2AA4D3" w14:textId="048D8DCE" w:rsidR="002D5EAF" w:rsidRPr="002D5EAF" w:rsidRDefault="002D5EAF" w:rsidP="0062374A">
      <w:pPr>
        <w:pStyle w:val="Heading2"/>
        <w:rPr>
          <w:color w:val="FF0000"/>
        </w:rPr>
      </w:pPr>
      <w:bookmarkStart w:id="148" w:name="_Toc75438409"/>
      <w:r>
        <w:t>Challenges and Constraints Imposed by COVID-19 upon LAQM within</w:t>
      </w:r>
      <w:r w:rsidR="00FD18EF">
        <w:t xml:space="preserve"> South Tyneside</w:t>
      </w:r>
      <w:bookmarkEnd w:id="148"/>
    </w:p>
    <w:p w14:paraId="0A13D2AA" w14:textId="0A67EBD7" w:rsidR="000D4412" w:rsidRDefault="000D4412" w:rsidP="00C367D5">
      <w:r>
        <w:t xml:space="preserve">The Pandemic has had a minor impact on Local </w:t>
      </w:r>
      <w:r w:rsidR="00F91E2D">
        <w:t>Air Quality monitoring.</w:t>
      </w:r>
    </w:p>
    <w:p w14:paraId="4FCF3B12" w14:textId="4FDD4D3C" w:rsidR="00CB38C1" w:rsidRDefault="009C7662" w:rsidP="00F873FC">
      <w:pPr>
        <w:pStyle w:val="ListParagraph"/>
        <w:numPr>
          <w:ilvl w:val="0"/>
          <w:numId w:val="46"/>
        </w:numPr>
        <w:ind w:left="709"/>
      </w:pPr>
      <w:r>
        <w:t xml:space="preserve">As discussed in the </w:t>
      </w:r>
      <w:r w:rsidR="0079515D">
        <w:t xml:space="preserve">report, there was </w:t>
      </w:r>
      <w:r w:rsidR="00532721">
        <w:t xml:space="preserve">an unavoidable </w:t>
      </w:r>
      <w:r w:rsidR="00AC5A99">
        <w:t xml:space="preserve">delay in retrieving diffusion tubes </w:t>
      </w:r>
      <w:r w:rsidR="00F873FC">
        <w:t xml:space="preserve">in full adherence to the diffusion tube calendar provided by DEFRA, however data capture over the full year is still considered more than satisfactory. </w:t>
      </w:r>
    </w:p>
    <w:p w14:paraId="77E8C7F1" w14:textId="289FF015" w:rsidR="00FA33BB" w:rsidRDefault="00FA33BB" w:rsidP="00F873FC">
      <w:pPr>
        <w:pStyle w:val="ListParagraph"/>
        <w:numPr>
          <w:ilvl w:val="0"/>
          <w:numId w:val="46"/>
        </w:numPr>
        <w:ind w:left="709"/>
      </w:pPr>
      <w:r>
        <w:t xml:space="preserve">As discussed in the report, </w:t>
      </w:r>
      <w:r w:rsidR="00692DCF">
        <w:t xml:space="preserve">the process to consideration revocation of the AQMA’s in the borough has been delayed by the pandemic. </w:t>
      </w:r>
      <w:r w:rsidR="00E84D8D">
        <w:t>However,</w:t>
      </w:r>
      <w:r w:rsidR="00692DCF">
        <w:t xml:space="preserve"> this will now move forward</w:t>
      </w:r>
      <w:r w:rsidR="00D93B57">
        <w:t xml:space="preserve"> as a priority. </w:t>
      </w:r>
    </w:p>
    <w:p w14:paraId="6CE17D7E" w14:textId="77777777" w:rsidR="00CB38C1" w:rsidRDefault="00CB38C1" w:rsidP="00C367D5"/>
    <w:p w14:paraId="5EB18E25" w14:textId="77777777" w:rsidR="000D4412" w:rsidRDefault="000D4412" w:rsidP="00C367D5"/>
    <w:p w14:paraId="0FAC0C2E" w14:textId="77777777" w:rsidR="000D4412" w:rsidRDefault="000D4412" w:rsidP="00C367D5"/>
    <w:p w14:paraId="435B7971" w14:textId="5CA70D09" w:rsidR="00C367D5" w:rsidRDefault="00C367D5" w:rsidP="00C367D5">
      <w:pPr>
        <w:sectPr w:rsidR="00C367D5" w:rsidSect="003172A5">
          <w:pgSz w:w="11899" w:h="16838" w:code="9"/>
          <w:pgMar w:top="1134" w:right="1134" w:bottom="1134" w:left="1134" w:header="340" w:footer="340" w:gutter="0"/>
          <w:cols w:space="708"/>
          <w:docGrid w:linePitch="326"/>
        </w:sectPr>
      </w:pPr>
      <w:r>
        <w:t xml:space="preserve"> </w:t>
      </w:r>
    </w:p>
    <w:p w14:paraId="638B6905" w14:textId="60A1839C" w:rsidR="0016308C" w:rsidRDefault="0016308C" w:rsidP="00276264">
      <w:pPr>
        <w:pStyle w:val="Caption"/>
        <w:keepNext/>
      </w:pPr>
      <w:bookmarkStart w:id="149" w:name="_Ref67665190"/>
      <w:bookmarkStart w:id="150" w:name="_Toc67997511"/>
      <w:r>
        <w:t xml:space="preserve">Table F </w:t>
      </w:r>
      <w:fldSimple w:instr=" SEQ Table_F \* ARABIC ">
        <w:r w:rsidR="0062374A">
          <w:rPr>
            <w:noProof/>
          </w:rPr>
          <w:t>1</w:t>
        </w:r>
      </w:fldSimple>
      <w:bookmarkEnd w:id="149"/>
      <w:r>
        <w:t xml:space="preserve"> </w:t>
      </w:r>
      <w:r w:rsidR="00940D38">
        <w:t>–</w:t>
      </w:r>
      <w:r>
        <w:t xml:space="preserve"> Impact Matrix</w:t>
      </w:r>
      <w:bookmarkEnd w:id="150"/>
    </w:p>
    <w:tbl>
      <w:tblPr>
        <w:tblStyle w:val="TableStyle4"/>
        <w:tblW w:w="5000" w:type="pct"/>
        <w:tblLook w:val="04A0" w:firstRow="1" w:lastRow="0" w:firstColumn="1" w:lastColumn="0" w:noHBand="0" w:noVBand="1"/>
      </w:tblPr>
      <w:tblGrid>
        <w:gridCol w:w="2912"/>
        <w:gridCol w:w="2912"/>
        <w:gridCol w:w="2912"/>
        <w:gridCol w:w="2912"/>
        <w:gridCol w:w="2912"/>
      </w:tblGrid>
      <w:tr w:rsidR="00342072" w:rsidRPr="00342072" w14:paraId="6C1CBCB0" w14:textId="77777777" w:rsidTr="00B4691A">
        <w:trPr>
          <w:cnfStyle w:val="100000000000" w:firstRow="1" w:lastRow="0" w:firstColumn="0" w:lastColumn="0" w:oddVBand="0" w:evenVBand="0" w:oddHBand="0" w:evenHBand="0" w:firstRowFirstColumn="0" w:firstRowLastColumn="0" w:lastRowFirstColumn="0" w:lastRowLastColumn="0"/>
          <w:trHeight w:val="697"/>
          <w:tblHeader/>
        </w:trPr>
        <w:tc>
          <w:tcPr>
            <w:cnfStyle w:val="001000000000" w:firstRow="0" w:lastRow="0" w:firstColumn="1" w:lastColumn="0" w:oddVBand="0" w:evenVBand="0" w:oddHBand="0" w:evenHBand="0" w:firstRowFirstColumn="0" w:firstRowLastColumn="0" w:lastRowFirstColumn="0" w:lastRowLastColumn="0"/>
            <w:tcW w:w="1000" w:type="pct"/>
          </w:tcPr>
          <w:p w14:paraId="16451FC6" w14:textId="421E5B0D" w:rsidR="00342072" w:rsidRPr="00342072" w:rsidRDefault="00342072" w:rsidP="00342072">
            <w:pPr>
              <w:spacing w:line="240" w:lineRule="auto"/>
              <w:rPr>
                <w:rFonts w:ascii="Arial" w:hAnsi="Arial" w:cs="Arial"/>
                <w:bCs/>
                <w:sz w:val="16"/>
                <w:szCs w:val="16"/>
              </w:rPr>
            </w:pPr>
            <w:r>
              <w:rPr>
                <w:rFonts w:ascii="Arial" w:hAnsi="Arial" w:cs="Arial"/>
                <w:bCs/>
                <w:sz w:val="16"/>
                <w:szCs w:val="16"/>
              </w:rPr>
              <w:t>Category</w:t>
            </w:r>
          </w:p>
        </w:tc>
        <w:tc>
          <w:tcPr>
            <w:tcW w:w="1000" w:type="pct"/>
            <w:tcBorders>
              <w:bottom w:val="single" w:sz="24" w:space="0" w:color="auto"/>
            </w:tcBorders>
          </w:tcPr>
          <w:p w14:paraId="7DFD81C9" w14:textId="7D1F3F7B" w:rsidR="00342072" w:rsidRPr="00342072" w:rsidRDefault="00342072" w:rsidP="0034207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sz w:val="16"/>
                <w:szCs w:val="16"/>
              </w:rPr>
            </w:pPr>
            <w:r w:rsidRPr="00342072">
              <w:rPr>
                <w:rFonts w:ascii="Arial" w:hAnsi="Arial" w:cs="Arial"/>
                <w:bCs/>
                <w:sz w:val="16"/>
                <w:szCs w:val="16"/>
              </w:rPr>
              <w:t>Impact Rating: None</w:t>
            </w:r>
          </w:p>
        </w:tc>
        <w:tc>
          <w:tcPr>
            <w:tcW w:w="1000" w:type="pct"/>
          </w:tcPr>
          <w:p w14:paraId="74E0B596" w14:textId="33B63EBF" w:rsidR="00342072" w:rsidRPr="00342072" w:rsidRDefault="00342072" w:rsidP="0034207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sz w:val="16"/>
                <w:szCs w:val="16"/>
              </w:rPr>
            </w:pPr>
            <w:r w:rsidRPr="00342072">
              <w:rPr>
                <w:rFonts w:ascii="Arial" w:hAnsi="Arial" w:cs="Arial"/>
                <w:bCs/>
                <w:sz w:val="16"/>
                <w:szCs w:val="16"/>
              </w:rPr>
              <w:t>Impact Rating: Small</w:t>
            </w:r>
          </w:p>
        </w:tc>
        <w:tc>
          <w:tcPr>
            <w:tcW w:w="1000" w:type="pct"/>
          </w:tcPr>
          <w:p w14:paraId="52C1A8F7" w14:textId="3AB30AC6" w:rsidR="00342072" w:rsidRPr="00342072" w:rsidRDefault="00342072" w:rsidP="0034207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sz w:val="16"/>
                <w:szCs w:val="16"/>
              </w:rPr>
            </w:pPr>
            <w:r w:rsidRPr="00342072">
              <w:rPr>
                <w:rFonts w:ascii="Arial" w:hAnsi="Arial" w:cs="Arial"/>
                <w:bCs/>
                <w:sz w:val="16"/>
                <w:szCs w:val="16"/>
              </w:rPr>
              <w:t>Impact Rating: Medium</w:t>
            </w:r>
          </w:p>
        </w:tc>
        <w:tc>
          <w:tcPr>
            <w:tcW w:w="1000" w:type="pct"/>
          </w:tcPr>
          <w:p w14:paraId="6BA32058" w14:textId="1BE6BDF4" w:rsidR="00342072" w:rsidRPr="00342072" w:rsidRDefault="00342072" w:rsidP="0034207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sz w:val="16"/>
                <w:szCs w:val="16"/>
              </w:rPr>
            </w:pPr>
            <w:r w:rsidRPr="00342072">
              <w:rPr>
                <w:rFonts w:ascii="Arial" w:hAnsi="Arial" w:cs="Arial"/>
                <w:bCs/>
                <w:sz w:val="16"/>
                <w:szCs w:val="16"/>
              </w:rPr>
              <w:t>Impact Rating: High</w:t>
            </w:r>
          </w:p>
        </w:tc>
      </w:tr>
      <w:tr w:rsidR="00342072" w:rsidRPr="00342072" w14:paraId="6D53F4C6" w14:textId="77777777" w:rsidTr="00B4691A">
        <w:trPr>
          <w:trHeight w:val="306"/>
        </w:trPr>
        <w:tc>
          <w:tcPr>
            <w:cnfStyle w:val="001000000000" w:firstRow="0" w:lastRow="0" w:firstColumn="1" w:lastColumn="0" w:oddVBand="0" w:evenVBand="0" w:oddHBand="0" w:evenHBand="0" w:firstRowFirstColumn="0" w:firstRowLastColumn="0" w:lastRowFirstColumn="0" w:lastRowLastColumn="0"/>
            <w:tcW w:w="1000" w:type="pct"/>
            <w:tcBorders>
              <w:right w:val="single" w:sz="24" w:space="0" w:color="auto"/>
            </w:tcBorders>
          </w:tcPr>
          <w:p w14:paraId="257F9B5C" w14:textId="0A617B18" w:rsidR="00342072" w:rsidRPr="00342072" w:rsidRDefault="00342072" w:rsidP="00342072">
            <w:pPr>
              <w:spacing w:line="240" w:lineRule="auto"/>
              <w:rPr>
                <w:rFonts w:cs="Arial"/>
                <w:sz w:val="16"/>
                <w:szCs w:val="16"/>
              </w:rPr>
            </w:pPr>
            <w:r w:rsidRPr="00342072">
              <w:rPr>
                <w:rFonts w:cs="Arial"/>
                <w:sz w:val="16"/>
                <w:szCs w:val="16"/>
              </w:rPr>
              <w:t>Automatic Monitoring – Data Capture</w:t>
            </w:r>
            <w:r w:rsidR="00F00206">
              <w:rPr>
                <w:rFonts w:cs="Arial"/>
                <w:sz w:val="16"/>
                <w:szCs w:val="16"/>
              </w:rPr>
              <w:t xml:space="preserve"> (%)</w:t>
            </w:r>
          </w:p>
        </w:tc>
        <w:tc>
          <w:tcPr>
            <w:tcW w:w="1000" w:type="pct"/>
            <w:tcBorders>
              <w:top w:val="single" w:sz="24" w:space="0" w:color="auto"/>
              <w:left w:val="single" w:sz="24" w:space="0" w:color="auto"/>
              <w:bottom w:val="single" w:sz="24" w:space="0" w:color="auto"/>
              <w:right w:val="single" w:sz="24" w:space="0" w:color="auto"/>
            </w:tcBorders>
            <w:shd w:val="clear" w:color="auto" w:fill="C6EFCE"/>
          </w:tcPr>
          <w:p w14:paraId="34839B05" w14:textId="0E63E575"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More than 75%</w:t>
            </w:r>
            <w:r w:rsidR="00F00206">
              <w:rPr>
                <w:rFonts w:cs="Arial"/>
                <w:sz w:val="16"/>
                <w:szCs w:val="16"/>
              </w:rPr>
              <w:t xml:space="preserve"> data capture</w:t>
            </w:r>
          </w:p>
        </w:tc>
        <w:tc>
          <w:tcPr>
            <w:tcW w:w="1000" w:type="pct"/>
            <w:tcBorders>
              <w:left w:val="single" w:sz="24" w:space="0" w:color="auto"/>
            </w:tcBorders>
            <w:shd w:val="clear" w:color="auto" w:fill="DDEBF7"/>
          </w:tcPr>
          <w:p w14:paraId="2B77CFCC" w14:textId="21CA4A02"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50 to 75%</w:t>
            </w:r>
            <w:r w:rsidR="00F00206">
              <w:rPr>
                <w:rFonts w:cs="Arial"/>
                <w:sz w:val="16"/>
                <w:szCs w:val="16"/>
              </w:rPr>
              <w:t xml:space="preserve"> data capture</w:t>
            </w:r>
          </w:p>
        </w:tc>
        <w:tc>
          <w:tcPr>
            <w:tcW w:w="1000" w:type="pct"/>
            <w:shd w:val="clear" w:color="auto" w:fill="FFEB9C"/>
          </w:tcPr>
          <w:p w14:paraId="7F689066" w14:textId="6F394370"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25 to 50%</w:t>
            </w:r>
            <w:r w:rsidR="00F00206">
              <w:rPr>
                <w:rFonts w:cs="Arial"/>
                <w:sz w:val="16"/>
                <w:szCs w:val="16"/>
              </w:rPr>
              <w:t xml:space="preserve"> data capture</w:t>
            </w:r>
          </w:p>
        </w:tc>
        <w:tc>
          <w:tcPr>
            <w:tcW w:w="1000" w:type="pct"/>
            <w:shd w:val="clear" w:color="auto" w:fill="FFC7CE"/>
          </w:tcPr>
          <w:p w14:paraId="2E6B8181" w14:textId="7479E979"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Less than 25%</w:t>
            </w:r>
            <w:r w:rsidR="00F00206">
              <w:rPr>
                <w:rFonts w:cs="Arial"/>
                <w:sz w:val="16"/>
                <w:szCs w:val="16"/>
              </w:rPr>
              <w:t xml:space="preserve"> data capture</w:t>
            </w:r>
          </w:p>
        </w:tc>
      </w:tr>
      <w:tr w:rsidR="00342072" w:rsidRPr="00342072" w14:paraId="0E3D2524" w14:textId="77777777" w:rsidTr="00B4691A">
        <w:trPr>
          <w:trHeight w:val="306"/>
        </w:trPr>
        <w:tc>
          <w:tcPr>
            <w:cnfStyle w:val="001000000000" w:firstRow="0" w:lastRow="0" w:firstColumn="1" w:lastColumn="0" w:oddVBand="0" w:evenVBand="0" w:oddHBand="0" w:evenHBand="0" w:firstRowFirstColumn="0" w:firstRowLastColumn="0" w:lastRowFirstColumn="0" w:lastRowLastColumn="0"/>
            <w:tcW w:w="1000" w:type="pct"/>
            <w:tcBorders>
              <w:right w:val="single" w:sz="24" w:space="0" w:color="auto"/>
            </w:tcBorders>
          </w:tcPr>
          <w:p w14:paraId="7AC8B5FD" w14:textId="41866A4A" w:rsidR="00342072" w:rsidRPr="00342072" w:rsidRDefault="00342072" w:rsidP="00342072">
            <w:pPr>
              <w:spacing w:line="240" w:lineRule="auto"/>
              <w:rPr>
                <w:rFonts w:cs="Arial"/>
                <w:sz w:val="16"/>
                <w:szCs w:val="16"/>
              </w:rPr>
            </w:pPr>
            <w:r w:rsidRPr="00342072">
              <w:rPr>
                <w:rFonts w:cs="Arial"/>
                <w:sz w:val="16"/>
                <w:szCs w:val="16"/>
              </w:rPr>
              <w:t>Automatic Monitoring – QA/QC Regime</w:t>
            </w:r>
          </w:p>
        </w:tc>
        <w:tc>
          <w:tcPr>
            <w:tcW w:w="1000" w:type="pct"/>
            <w:tcBorders>
              <w:top w:val="single" w:sz="24" w:space="0" w:color="auto"/>
              <w:left w:val="single" w:sz="24" w:space="0" w:color="auto"/>
              <w:bottom w:val="single" w:sz="24" w:space="0" w:color="auto"/>
              <w:right w:val="single" w:sz="24" w:space="0" w:color="auto"/>
            </w:tcBorders>
            <w:shd w:val="clear" w:color="auto" w:fill="C6EFCE"/>
          </w:tcPr>
          <w:p w14:paraId="00FAB6F5" w14:textId="4159C98B"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Adherence to requirements as defined in LAQM.TG</w:t>
            </w:r>
            <w:r w:rsidR="00961233">
              <w:rPr>
                <w:rFonts w:cs="Arial"/>
                <w:sz w:val="16"/>
                <w:szCs w:val="16"/>
              </w:rPr>
              <w:t>1</w:t>
            </w:r>
            <w:r w:rsidRPr="00342072">
              <w:rPr>
                <w:rFonts w:cs="Arial"/>
                <w:sz w:val="16"/>
                <w:szCs w:val="16"/>
              </w:rPr>
              <w:t>6</w:t>
            </w:r>
          </w:p>
        </w:tc>
        <w:tc>
          <w:tcPr>
            <w:tcW w:w="1000" w:type="pct"/>
            <w:tcBorders>
              <w:left w:val="single" w:sz="24" w:space="0" w:color="auto"/>
            </w:tcBorders>
            <w:shd w:val="clear" w:color="auto" w:fill="DDEBF7"/>
          </w:tcPr>
          <w:p w14:paraId="2D4974DA" w14:textId="297DEDDC"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Routine calibrations taken place frequently but not to normal regime. Audits undertaken alongside service and maintenance programmes</w:t>
            </w:r>
          </w:p>
        </w:tc>
        <w:tc>
          <w:tcPr>
            <w:tcW w:w="1000" w:type="pct"/>
            <w:shd w:val="clear" w:color="auto" w:fill="FFEB9C"/>
          </w:tcPr>
          <w:p w14:paraId="76148A3D" w14:textId="5F1AE657"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Routine calibrations taken place infrequently and service and maintenance regimes adhered to. No audit achieved</w:t>
            </w:r>
          </w:p>
        </w:tc>
        <w:tc>
          <w:tcPr>
            <w:tcW w:w="1000" w:type="pct"/>
            <w:shd w:val="clear" w:color="auto" w:fill="FFC7CE"/>
          </w:tcPr>
          <w:p w14:paraId="0D083099" w14:textId="26037425"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Routine calibrations not undertaken within extended period (e.g. 3 to 4 months). Interruption to service and maintenance regime and no audit achieved</w:t>
            </w:r>
          </w:p>
        </w:tc>
      </w:tr>
      <w:tr w:rsidR="00342072" w:rsidRPr="00342072" w14:paraId="53E3988C" w14:textId="77777777" w:rsidTr="00B4691A">
        <w:trPr>
          <w:trHeight w:val="306"/>
        </w:trPr>
        <w:tc>
          <w:tcPr>
            <w:cnfStyle w:val="001000000000" w:firstRow="0" w:lastRow="0" w:firstColumn="1" w:lastColumn="0" w:oddVBand="0" w:evenVBand="0" w:oddHBand="0" w:evenHBand="0" w:firstRowFirstColumn="0" w:firstRowLastColumn="0" w:lastRowFirstColumn="0" w:lastRowLastColumn="0"/>
            <w:tcW w:w="1000" w:type="pct"/>
            <w:tcBorders>
              <w:right w:val="single" w:sz="24" w:space="0" w:color="auto"/>
            </w:tcBorders>
          </w:tcPr>
          <w:p w14:paraId="582A0C1B" w14:textId="37F79258" w:rsidR="00342072" w:rsidRPr="00342072" w:rsidRDefault="00342072" w:rsidP="00342072">
            <w:pPr>
              <w:spacing w:line="240" w:lineRule="auto"/>
              <w:rPr>
                <w:rFonts w:cs="Arial"/>
                <w:sz w:val="16"/>
                <w:szCs w:val="16"/>
              </w:rPr>
            </w:pPr>
            <w:r w:rsidRPr="00342072">
              <w:rPr>
                <w:rFonts w:cs="Arial"/>
                <w:sz w:val="16"/>
                <w:szCs w:val="16"/>
              </w:rPr>
              <w:t>Passive Monitoring – Data Capture</w:t>
            </w:r>
            <w:r w:rsidR="00F00206">
              <w:rPr>
                <w:rFonts w:cs="Arial"/>
                <w:sz w:val="16"/>
                <w:szCs w:val="16"/>
              </w:rPr>
              <w:t xml:space="preserve"> (%)</w:t>
            </w:r>
          </w:p>
        </w:tc>
        <w:tc>
          <w:tcPr>
            <w:tcW w:w="1000" w:type="pct"/>
            <w:tcBorders>
              <w:top w:val="single" w:sz="24" w:space="0" w:color="auto"/>
              <w:left w:val="single" w:sz="24" w:space="0" w:color="auto"/>
              <w:bottom w:val="single" w:sz="24" w:space="0" w:color="auto"/>
              <w:right w:val="single" w:sz="24" w:space="0" w:color="auto"/>
            </w:tcBorders>
            <w:shd w:val="clear" w:color="auto" w:fill="C6EFCE"/>
          </w:tcPr>
          <w:p w14:paraId="601F3C07" w14:textId="73E4033E"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More than 75%</w:t>
            </w:r>
            <w:r w:rsidR="00F00206">
              <w:rPr>
                <w:rFonts w:cs="Arial"/>
                <w:sz w:val="16"/>
                <w:szCs w:val="16"/>
              </w:rPr>
              <w:t xml:space="preserve"> data capture</w:t>
            </w:r>
          </w:p>
        </w:tc>
        <w:tc>
          <w:tcPr>
            <w:tcW w:w="1000" w:type="pct"/>
            <w:tcBorders>
              <w:left w:val="single" w:sz="24" w:space="0" w:color="auto"/>
            </w:tcBorders>
            <w:shd w:val="clear" w:color="auto" w:fill="DDEBF7"/>
          </w:tcPr>
          <w:p w14:paraId="294EB8AD" w14:textId="52ABCC0B"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50 to 75%</w:t>
            </w:r>
            <w:r w:rsidR="00F00206">
              <w:rPr>
                <w:rFonts w:cs="Arial"/>
                <w:sz w:val="16"/>
                <w:szCs w:val="16"/>
              </w:rPr>
              <w:t xml:space="preserve"> data capture</w:t>
            </w:r>
          </w:p>
        </w:tc>
        <w:tc>
          <w:tcPr>
            <w:tcW w:w="1000" w:type="pct"/>
            <w:shd w:val="clear" w:color="auto" w:fill="FFEB9C"/>
          </w:tcPr>
          <w:p w14:paraId="4C0FA069" w14:textId="09B8C7AF"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25 to 50%</w:t>
            </w:r>
            <w:r w:rsidR="00F00206">
              <w:rPr>
                <w:rFonts w:cs="Arial"/>
                <w:sz w:val="16"/>
                <w:szCs w:val="16"/>
              </w:rPr>
              <w:t xml:space="preserve"> data capture</w:t>
            </w:r>
          </w:p>
        </w:tc>
        <w:tc>
          <w:tcPr>
            <w:tcW w:w="1000" w:type="pct"/>
            <w:shd w:val="clear" w:color="auto" w:fill="FFC7CE"/>
          </w:tcPr>
          <w:p w14:paraId="0E89B4A3" w14:textId="45CA779C"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Less than 25%</w:t>
            </w:r>
            <w:r w:rsidR="00F00206">
              <w:rPr>
                <w:rFonts w:cs="Arial"/>
                <w:sz w:val="16"/>
                <w:szCs w:val="16"/>
              </w:rPr>
              <w:t xml:space="preserve"> data capture</w:t>
            </w:r>
          </w:p>
        </w:tc>
      </w:tr>
      <w:tr w:rsidR="00342072" w:rsidRPr="00342072" w14:paraId="345B60F5" w14:textId="77777777" w:rsidTr="00B4691A">
        <w:trPr>
          <w:trHeight w:val="306"/>
        </w:trPr>
        <w:tc>
          <w:tcPr>
            <w:cnfStyle w:val="001000000000" w:firstRow="0" w:lastRow="0" w:firstColumn="1" w:lastColumn="0" w:oddVBand="0" w:evenVBand="0" w:oddHBand="0" w:evenHBand="0" w:firstRowFirstColumn="0" w:firstRowLastColumn="0" w:lastRowFirstColumn="0" w:lastRowLastColumn="0"/>
            <w:tcW w:w="1000" w:type="pct"/>
            <w:tcBorders>
              <w:right w:val="single" w:sz="24" w:space="0" w:color="auto"/>
            </w:tcBorders>
          </w:tcPr>
          <w:p w14:paraId="1D4AB677" w14:textId="435D4ADD" w:rsidR="00342072" w:rsidRPr="00342072" w:rsidRDefault="00342072" w:rsidP="00342072">
            <w:pPr>
              <w:spacing w:line="240" w:lineRule="auto"/>
              <w:rPr>
                <w:rFonts w:cs="Arial"/>
                <w:sz w:val="16"/>
                <w:szCs w:val="16"/>
              </w:rPr>
            </w:pPr>
            <w:r w:rsidRPr="00342072">
              <w:rPr>
                <w:rFonts w:cs="Arial"/>
                <w:sz w:val="16"/>
                <w:szCs w:val="16"/>
              </w:rPr>
              <w:t>Passive Monitoring – Bias Adjustment Factor</w:t>
            </w:r>
          </w:p>
        </w:tc>
        <w:tc>
          <w:tcPr>
            <w:tcW w:w="1000" w:type="pct"/>
            <w:tcBorders>
              <w:top w:val="single" w:sz="24" w:space="0" w:color="auto"/>
              <w:left w:val="single" w:sz="24" w:space="0" w:color="auto"/>
              <w:bottom w:val="single" w:sz="24" w:space="0" w:color="auto"/>
              <w:right w:val="single" w:sz="24" w:space="0" w:color="auto"/>
            </w:tcBorders>
            <w:shd w:val="clear" w:color="auto" w:fill="C6EFCE"/>
          </w:tcPr>
          <w:p w14:paraId="5646AF8C" w14:textId="3FFF8611"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Bias adjustment undertaken as normal</w:t>
            </w:r>
          </w:p>
        </w:tc>
        <w:tc>
          <w:tcPr>
            <w:tcW w:w="1000" w:type="pct"/>
            <w:tcBorders>
              <w:left w:val="single" w:sz="24" w:space="0" w:color="auto"/>
              <w:bottom w:val="single" w:sz="24" w:space="0" w:color="auto"/>
            </w:tcBorders>
            <w:shd w:val="clear" w:color="auto" w:fill="DDEBF7"/>
          </w:tcPr>
          <w:p w14:paraId="70C9702A" w14:textId="48C71224"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&lt;25% impact on normal number of available bias adjustment colocation studies (2020 vs 2019)</w:t>
            </w:r>
          </w:p>
        </w:tc>
        <w:tc>
          <w:tcPr>
            <w:tcW w:w="1000" w:type="pct"/>
            <w:shd w:val="clear" w:color="auto" w:fill="FFEB9C"/>
          </w:tcPr>
          <w:p w14:paraId="7AE0E115" w14:textId="180FD25C"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25-50% impact on normal number of available bias adjustment studies (2020 vs 2019)</w:t>
            </w:r>
          </w:p>
        </w:tc>
        <w:tc>
          <w:tcPr>
            <w:tcW w:w="1000" w:type="pct"/>
            <w:shd w:val="clear" w:color="auto" w:fill="FFC7CE"/>
          </w:tcPr>
          <w:p w14:paraId="2027DD24" w14:textId="3205E0C0"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&gt;50% impact on normal number of available bias adjustment studies (2020 vs 2019) and/or applied bias adjustment factor studies not considered representative of local regime</w:t>
            </w:r>
          </w:p>
        </w:tc>
      </w:tr>
      <w:tr w:rsidR="00342072" w:rsidRPr="00342072" w14:paraId="24A40C57" w14:textId="77777777" w:rsidTr="00B4691A">
        <w:trPr>
          <w:trHeight w:val="306"/>
        </w:trPr>
        <w:tc>
          <w:tcPr>
            <w:cnfStyle w:val="001000000000" w:firstRow="0" w:lastRow="0" w:firstColumn="1" w:lastColumn="0" w:oddVBand="0" w:evenVBand="0" w:oddHBand="0" w:evenHBand="0" w:firstRowFirstColumn="0" w:firstRowLastColumn="0" w:lastRowFirstColumn="0" w:lastRowLastColumn="0"/>
            <w:tcW w:w="1000" w:type="pct"/>
          </w:tcPr>
          <w:p w14:paraId="0622EDE2" w14:textId="6D0DE3B6" w:rsidR="00342072" w:rsidRPr="00342072" w:rsidRDefault="00342072" w:rsidP="00342072">
            <w:pPr>
              <w:spacing w:line="240" w:lineRule="auto"/>
              <w:rPr>
                <w:rFonts w:cs="Arial"/>
                <w:sz w:val="16"/>
                <w:szCs w:val="16"/>
              </w:rPr>
            </w:pPr>
            <w:r w:rsidRPr="00342072">
              <w:rPr>
                <w:rFonts w:cs="Arial"/>
                <w:sz w:val="16"/>
                <w:szCs w:val="16"/>
              </w:rPr>
              <w:t>Passive Monitoring – Adherence to Changeover Dates</w:t>
            </w:r>
          </w:p>
        </w:tc>
        <w:tc>
          <w:tcPr>
            <w:tcW w:w="1000" w:type="pct"/>
            <w:tcBorders>
              <w:top w:val="single" w:sz="24" w:space="0" w:color="auto"/>
              <w:bottom w:val="single" w:sz="24" w:space="0" w:color="auto"/>
              <w:right w:val="single" w:sz="24" w:space="0" w:color="auto"/>
            </w:tcBorders>
            <w:shd w:val="clear" w:color="auto" w:fill="C6EFCE"/>
          </w:tcPr>
          <w:p w14:paraId="050C98AC" w14:textId="268BEA9C"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Defra diffusion tube exposure calendar adhered to</w:t>
            </w:r>
          </w:p>
        </w:tc>
        <w:tc>
          <w:tcPr>
            <w:tcW w:w="1000" w:type="pct"/>
            <w:tcBorders>
              <w:top w:val="single" w:sz="24" w:space="0" w:color="auto"/>
              <w:left w:val="single" w:sz="24" w:space="0" w:color="auto"/>
              <w:bottom w:val="single" w:sz="24" w:space="0" w:color="auto"/>
              <w:right w:val="single" w:sz="24" w:space="0" w:color="auto"/>
            </w:tcBorders>
            <w:shd w:val="clear" w:color="auto" w:fill="DDEBF7"/>
          </w:tcPr>
          <w:p w14:paraId="4F49C059" w14:textId="60B439BD"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left out for two exposure periods</w:t>
            </w:r>
          </w:p>
        </w:tc>
        <w:tc>
          <w:tcPr>
            <w:tcW w:w="1000" w:type="pct"/>
            <w:tcBorders>
              <w:left w:val="single" w:sz="24" w:space="0" w:color="auto"/>
            </w:tcBorders>
            <w:shd w:val="clear" w:color="auto" w:fill="FFEB9C"/>
          </w:tcPr>
          <w:p w14:paraId="5B64E335" w14:textId="7D17E40B"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left out for three exposure periods</w:t>
            </w:r>
          </w:p>
        </w:tc>
        <w:tc>
          <w:tcPr>
            <w:tcW w:w="1000" w:type="pct"/>
            <w:shd w:val="clear" w:color="auto" w:fill="FFC7CE"/>
          </w:tcPr>
          <w:p w14:paraId="486D5008" w14:textId="189478C7"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left out for more than three exposure periods</w:t>
            </w:r>
          </w:p>
        </w:tc>
      </w:tr>
      <w:tr w:rsidR="00342072" w:rsidRPr="00342072" w14:paraId="601837AD" w14:textId="77777777" w:rsidTr="00B4691A">
        <w:trPr>
          <w:trHeight w:val="306"/>
        </w:trPr>
        <w:tc>
          <w:tcPr>
            <w:cnfStyle w:val="001000000000" w:firstRow="0" w:lastRow="0" w:firstColumn="1" w:lastColumn="0" w:oddVBand="0" w:evenVBand="0" w:oddHBand="0" w:evenHBand="0" w:firstRowFirstColumn="0" w:firstRowLastColumn="0" w:lastRowFirstColumn="0" w:lastRowLastColumn="0"/>
            <w:tcW w:w="1000" w:type="pct"/>
            <w:tcBorders>
              <w:right w:val="single" w:sz="24" w:space="0" w:color="auto"/>
            </w:tcBorders>
          </w:tcPr>
          <w:p w14:paraId="6FAFA512" w14:textId="48E5BEBE" w:rsidR="00342072" w:rsidRPr="00342072" w:rsidRDefault="00342072" w:rsidP="00342072">
            <w:pPr>
              <w:spacing w:line="240" w:lineRule="auto"/>
              <w:rPr>
                <w:rFonts w:cs="Arial"/>
                <w:sz w:val="16"/>
                <w:szCs w:val="16"/>
              </w:rPr>
            </w:pPr>
            <w:r w:rsidRPr="00342072">
              <w:rPr>
                <w:rFonts w:cs="Arial"/>
                <w:sz w:val="16"/>
                <w:szCs w:val="16"/>
              </w:rPr>
              <w:t>Passive Monitoring – Storage of Tubes</w:t>
            </w:r>
          </w:p>
        </w:tc>
        <w:tc>
          <w:tcPr>
            <w:tcW w:w="1000" w:type="pct"/>
            <w:tcBorders>
              <w:top w:val="single" w:sz="24" w:space="0" w:color="auto"/>
              <w:left w:val="single" w:sz="24" w:space="0" w:color="auto"/>
              <w:bottom w:val="single" w:sz="24" w:space="0" w:color="auto"/>
              <w:right w:val="single" w:sz="24" w:space="0" w:color="auto"/>
            </w:tcBorders>
            <w:shd w:val="clear" w:color="auto" w:fill="C6EFCE"/>
          </w:tcPr>
          <w:p w14:paraId="405C8BEA" w14:textId="12EA2AA9"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stored in accordance with laboratory guidance and analysed promptly.</w:t>
            </w:r>
          </w:p>
        </w:tc>
        <w:tc>
          <w:tcPr>
            <w:tcW w:w="1000" w:type="pct"/>
            <w:tcBorders>
              <w:top w:val="single" w:sz="24" w:space="0" w:color="auto"/>
              <w:left w:val="single" w:sz="24" w:space="0" w:color="auto"/>
            </w:tcBorders>
            <w:shd w:val="clear" w:color="auto" w:fill="DDEBF7"/>
          </w:tcPr>
          <w:p w14:paraId="39706AE6" w14:textId="3C7349FF"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stored for longer than normal but adhering to laboratory guidance</w:t>
            </w:r>
          </w:p>
        </w:tc>
        <w:tc>
          <w:tcPr>
            <w:tcW w:w="1000" w:type="pct"/>
            <w:shd w:val="clear" w:color="auto" w:fill="FFEB9C"/>
          </w:tcPr>
          <w:p w14:paraId="28C1B9B2" w14:textId="2DEA82BF"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unable to be stored according to be laboratory guidance but analysed prior to expiry date</w:t>
            </w:r>
          </w:p>
        </w:tc>
        <w:tc>
          <w:tcPr>
            <w:tcW w:w="1000" w:type="pct"/>
            <w:shd w:val="clear" w:color="auto" w:fill="FFC7CE"/>
          </w:tcPr>
          <w:p w14:paraId="2AFDA7B9" w14:textId="18A69B54"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stored for so long that they were unable to be analysed prior to expiry date. Data unable to be used</w:t>
            </w:r>
          </w:p>
        </w:tc>
      </w:tr>
      <w:tr w:rsidR="00342072" w:rsidRPr="00342072" w14:paraId="427CAF1E" w14:textId="77777777" w:rsidTr="00B4691A">
        <w:trPr>
          <w:trHeight w:val="306"/>
        </w:trPr>
        <w:tc>
          <w:tcPr>
            <w:cnfStyle w:val="001000000000" w:firstRow="0" w:lastRow="0" w:firstColumn="1" w:lastColumn="0" w:oddVBand="0" w:evenVBand="0" w:oddHBand="0" w:evenHBand="0" w:firstRowFirstColumn="0" w:firstRowLastColumn="0" w:lastRowFirstColumn="0" w:lastRowLastColumn="0"/>
            <w:tcW w:w="1000" w:type="pct"/>
            <w:tcBorders>
              <w:right w:val="single" w:sz="24" w:space="0" w:color="auto"/>
            </w:tcBorders>
          </w:tcPr>
          <w:p w14:paraId="2EF30A4A" w14:textId="30D36228" w:rsidR="00342072" w:rsidRPr="00342072" w:rsidRDefault="00342072" w:rsidP="00342072">
            <w:pPr>
              <w:spacing w:line="240" w:lineRule="auto"/>
              <w:rPr>
                <w:rFonts w:cs="Arial"/>
                <w:sz w:val="16"/>
                <w:szCs w:val="16"/>
              </w:rPr>
            </w:pPr>
            <w:r w:rsidRPr="00342072">
              <w:rPr>
                <w:rFonts w:cs="Arial"/>
                <w:sz w:val="16"/>
                <w:szCs w:val="16"/>
              </w:rPr>
              <w:t>AQAP – Measure Implementation</w:t>
            </w:r>
          </w:p>
        </w:tc>
        <w:tc>
          <w:tcPr>
            <w:tcW w:w="1000" w:type="pct"/>
            <w:tcBorders>
              <w:top w:val="single" w:sz="24" w:space="0" w:color="auto"/>
              <w:left w:val="single" w:sz="24" w:space="0" w:color="auto"/>
              <w:bottom w:val="single" w:sz="24" w:space="0" w:color="auto"/>
              <w:right w:val="single" w:sz="24" w:space="0" w:color="auto"/>
            </w:tcBorders>
            <w:shd w:val="clear" w:color="auto" w:fill="C6EFCE"/>
          </w:tcPr>
          <w:p w14:paraId="3CDE8DED" w14:textId="4AA192FF"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Unaffected</w:t>
            </w:r>
          </w:p>
        </w:tc>
        <w:tc>
          <w:tcPr>
            <w:tcW w:w="1000" w:type="pct"/>
            <w:tcBorders>
              <w:left w:val="single" w:sz="24" w:space="0" w:color="auto"/>
            </w:tcBorders>
            <w:shd w:val="clear" w:color="auto" w:fill="DDEBF7"/>
          </w:tcPr>
          <w:p w14:paraId="40F79D28" w14:textId="3391244B"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Short delay (&lt;6 months) in development of a new AQAP, but is on-going</w:t>
            </w:r>
          </w:p>
        </w:tc>
        <w:tc>
          <w:tcPr>
            <w:tcW w:w="1000" w:type="pct"/>
            <w:shd w:val="clear" w:color="auto" w:fill="FFEB9C"/>
          </w:tcPr>
          <w:p w14:paraId="7654DC1F" w14:textId="622A1B0C"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Long delay (&gt;6 months) in development of a new AQAP, but is on-going</w:t>
            </w:r>
          </w:p>
        </w:tc>
        <w:tc>
          <w:tcPr>
            <w:tcW w:w="1000" w:type="pct"/>
            <w:shd w:val="clear" w:color="auto" w:fill="FFC7CE"/>
          </w:tcPr>
          <w:p w14:paraId="308D943D" w14:textId="045C9858"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No progression in development of a new AQAP</w:t>
            </w:r>
          </w:p>
        </w:tc>
      </w:tr>
      <w:tr w:rsidR="00342072" w:rsidRPr="00342072" w14:paraId="0BB39125" w14:textId="77777777" w:rsidTr="00B4691A">
        <w:trPr>
          <w:trHeight w:val="306"/>
        </w:trPr>
        <w:tc>
          <w:tcPr>
            <w:cnfStyle w:val="001000000000" w:firstRow="0" w:lastRow="0" w:firstColumn="1" w:lastColumn="0" w:oddVBand="0" w:evenVBand="0" w:oddHBand="0" w:evenHBand="0" w:firstRowFirstColumn="0" w:firstRowLastColumn="0" w:lastRowFirstColumn="0" w:lastRowLastColumn="0"/>
            <w:tcW w:w="1000" w:type="pct"/>
            <w:tcBorders>
              <w:right w:val="single" w:sz="24" w:space="0" w:color="auto"/>
            </w:tcBorders>
          </w:tcPr>
          <w:p w14:paraId="2934D353" w14:textId="386957EC" w:rsidR="00342072" w:rsidRPr="00342072" w:rsidRDefault="00342072" w:rsidP="00342072">
            <w:pPr>
              <w:spacing w:line="240" w:lineRule="auto"/>
              <w:rPr>
                <w:rFonts w:cs="Arial"/>
                <w:sz w:val="16"/>
                <w:szCs w:val="16"/>
              </w:rPr>
            </w:pPr>
            <w:r w:rsidRPr="00342072">
              <w:rPr>
                <w:rFonts w:cs="Arial"/>
                <w:sz w:val="16"/>
                <w:szCs w:val="16"/>
              </w:rPr>
              <w:t>AQAP – New AQAP Development</w:t>
            </w:r>
          </w:p>
        </w:tc>
        <w:tc>
          <w:tcPr>
            <w:tcW w:w="1000" w:type="pct"/>
            <w:tcBorders>
              <w:top w:val="single" w:sz="24" w:space="0" w:color="auto"/>
              <w:left w:val="single" w:sz="24" w:space="0" w:color="auto"/>
              <w:bottom w:val="single" w:sz="24" w:space="0" w:color="auto"/>
              <w:right w:val="single" w:sz="24" w:space="0" w:color="auto"/>
            </w:tcBorders>
            <w:shd w:val="clear" w:color="auto" w:fill="C6EFCE"/>
          </w:tcPr>
          <w:p w14:paraId="6A9BDEC8" w14:textId="6F4D1A8B"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Unaffected</w:t>
            </w:r>
          </w:p>
        </w:tc>
        <w:tc>
          <w:tcPr>
            <w:tcW w:w="1000" w:type="pct"/>
            <w:tcBorders>
              <w:left w:val="single" w:sz="24" w:space="0" w:color="auto"/>
            </w:tcBorders>
            <w:shd w:val="clear" w:color="auto" w:fill="DDEBF7"/>
          </w:tcPr>
          <w:p w14:paraId="78BE915E" w14:textId="7C0037A2"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Short delay (&lt;6 months) in development of a new AQAP, but is on-going</w:t>
            </w:r>
          </w:p>
        </w:tc>
        <w:tc>
          <w:tcPr>
            <w:tcW w:w="1000" w:type="pct"/>
            <w:shd w:val="clear" w:color="auto" w:fill="FFEB9C"/>
          </w:tcPr>
          <w:p w14:paraId="41DBC6DF" w14:textId="2F634CD8"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Long delay (&gt;6 months) in development of a new AQAP, but is on-going</w:t>
            </w:r>
          </w:p>
        </w:tc>
        <w:tc>
          <w:tcPr>
            <w:tcW w:w="1000" w:type="pct"/>
            <w:shd w:val="clear" w:color="auto" w:fill="FFC7CE"/>
          </w:tcPr>
          <w:p w14:paraId="27693F71" w14:textId="0F87D237"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No progression in development of a new AQAP</w:t>
            </w:r>
          </w:p>
        </w:tc>
      </w:tr>
    </w:tbl>
    <w:p w14:paraId="3E332FD6" w14:textId="77777777" w:rsidR="00342072" w:rsidRDefault="00342072" w:rsidP="006D007B">
      <w:pPr>
        <w:rPr>
          <w:rFonts w:eastAsia="Times New Roman"/>
          <w:color w:val="008938"/>
          <w:sz w:val="36"/>
          <w:szCs w:val="28"/>
        </w:rPr>
      </w:pPr>
    </w:p>
    <w:p w14:paraId="12C66647" w14:textId="77777777" w:rsidR="00342072" w:rsidRDefault="00342072" w:rsidP="00400B0F">
      <w:pPr>
        <w:pStyle w:val="Heading1"/>
        <w:numPr>
          <w:ilvl w:val="0"/>
          <w:numId w:val="0"/>
        </w:numPr>
        <w:ind w:left="432" w:hanging="432"/>
        <w:sectPr w:rsidR="00342072" w:rsidSect="00342072">
          <w:pgSz w:w="16838" w:h="11899" w:orient="landscape" w:code="9"/>
          <w:pgMar w:top="1134" w:right="1134" w:bottom="1134" w:left="1134" w:header="340" w:footer="340" w:gutter="0"/>
          <w:cols w:space="708"/>
          <w:docGrid w:linePitch="326"/>
        </w:sectPr>
      </w:pPr>
    </w:p>
    <w:p w14:paraId="7E4B1FC0" w14:textId="318B4960" w:rsidR="00DB646E" w:rsidRDefault="00F1472B" w:rsidP="00400B0F">
      <w:pPr>
        <w:pStyle w:val="Heading1"/>
        <w:numPr>
          <w:ilvl w:val="0"/>
          <w:numId w:val="0"/>
        </w:numPr>
        <w:ind w:left="432" w:hanging="432"/>
      </w:pPr>
      <w:bookmarkStart w:id="151" w:name="_Toc75438410"/>
      <w:r>
        <w:t>Glossary of Terms</w:t>
      </w:r>
      <w:bookmarkEnd w:id="151"/>
    </w:p>
    <w:tbl>
      <w:tblPr>
        <w:tblStyle w:val="TableStyle4"/>
        <w:tblW w:w="0" w:type="auto"/>
        <w:tblLook w:val="04A0" w:firstRow="1" w:lastRow="0" w:firstColumn="1" w:lastColumn="0" w:noHBand="0" w:noVBand="1"/>
      </w:tblPr>
      <w:tblGrid>
        <w:gridCol w:w="2547"/>
        <w:gridCol w:w="7074"/>
      </w:tblGrid>
      <w:tr w:rsidR="00F1472B" w:rsidRPr="00116356" w14:paraId="57F6AD4A" w14:textId="77777777" w:rsidTr="003A10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bookmarkEnd w:id="28"/>
          <w:p w14:paraId="230E02CF" w14:textId="77777777" w:rsidR="00F1472B" w:rsidRPr="00116356" w:rsidRDefault="00F1472B" w:rsidP="003A10E7">
            <w:pPr>
              <w:spacing w:line="240" w:lineRule="auto"/>
              <w:rPr>
                <w:rFonts w:ascii="Arial" w:hAnsi="Arial" w:cs="Arial"/>
                <w:sz w:val="20"/>
              </w:rPr>
            </w:pPr>
            <w:r w:rsidRPr="00116356">
              <w:rPr>
                <w:rFonts w:ascii="Arial" w:hAnsi="Arial" w:cs="Arial"/>
                <w:sz w:val="20"/>
              </w:rPr>
              <w:t>Abbreviation</w:t>
            </w:r>
          </w:p>
        </w:tc>
        <w:tc>
          <w:tcPr>
            <w:tcW w:w="7074" w:type="dxa"/>
          </w:tcPr>
          <w:p w14:paraId="6B8E94FD" w14:textId="77777777" w:rsidR="00F1472B" w:rsidRPr="00116356" w:rsidRDefault="00F1472B"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116356">
              <w:rPr>
                <w:rFonts w:ascii="Arial" w:hAnsi="Arial" w:cs="Arial"/>
                <w:sz w:val="20"/>
              </w:rPr>
              <w:t>Description</w:t>
            </w:r>
          </w:p>
        </w:tc>
      </w:tr>
      <w:tr w:rsidR="00F1472B" w:rsidRPr="00116356" w14:paraId="7FA4D7EF"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2D62C1A2" w14:textId="77777777" w:rsidR="00F1472B" w:rsidRPr="00116356" w:rsidRDefault="00F1472B" w:rsidP="002A068B">
            <w:pPr>
              <w:spacing w:line="240" w:lineRule="auto"/>
              <w:rPr>
                <w:rFonts w:cs="Arial"/>
                <w:sz w:val="20"/>
              </w:rPr>
            </w:pPr>
            <w:r w:rsidRPr="00116356">
              <w:rPr>
                <w:rFonts w:cs="Arial"/>
                <w:sz w:val="20"/>
              </w:rPr>
              <w:t>AQAP</w:t>
            </w:r>
          </w:p>
        </w:tc>
        <w:tc>
          <w:tcPr>
            <w:tcW w:w="7074" w:type="dxa"/>
          </w:tcPr>
          <w:p w14:paraId="40AB1DD9"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Air Quality Action Plan - A detailed description of measures, outcomes, achievement dates and implementation methods, showing how the local authority intends to achieve air quality limit values’</w:t>
            </w:r>
          </w:p>
        </w:tc>
      </w:tr>
      <w:tr w:rsidR="00F1472B" w:rsidRPr="00116356" w14:paraId="778E5773"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71FCDE50" w14:textId="77777777" w:rsidR="00F1472B" w:rsidRPr="00116356" w:rsidRDefault="00F1472B" w:rsidP="002A068B">
            <w:pPr>
              <w:spacing w:line="240" w:lineRule="auto"/>
              <w:rPr>
                <w:rFonts w:cs="Arial"/>
                <w:sz w:val="20"/>
              </w:rPr>
            </w:pPr>
            <w:r w:rsidRPr="00116356">
              <w:rPr>
                <w:rFonts w:cs="Arial"/>
                <w:sz w:val="20"/>
              </w:rPr>
              <w:t>AQMA</w:t>
            </w:r>
          </w:p>
        </w:tc>
        <w:tc>
          <w:tcPr>
            <w:tcW w:w="7074" w:type="dxa"/>
          </w:tcPr>
          <w:p w14:paraId="0CE991E3"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Air Quality Management Area – An area where air pollutant concentrations exceed / are likely to exceed the relevant air quality objectives. AQMAs are declared for specific pollutants and objectives</w:t>
            </w:r>
          </w:p>
        </w:tc>
      </w:tr>
      <w:tr w:rsidR="00F1472B" w:rsidRPr="00116356" w14:paraId="17D1D78E"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2ABDDA81" w14:textId="77777777" w:rsidR="00F1472B" w:rsidRPr="00116356" w:rsidRDefault="00F1472B" w:rsidP="002A068B">
            <w:pPr>
              <w:spacing w:line="240" w:lineRule="auto"/>
              <w:rPr>
                <w:rFonts w:cs="Arial"/>
                <w:sz w:val="20"/>
              </w:rPr>
            </w:pPr>
            <w:r w:rsidRPr="00116356">
              <w:rPr>
                <w:rFonts w:cs="Arial"/>
                <w:sz w:val="20"/>
              </w:rPr>
              <w:t>ASR</w:t>
            </w:r>
          </w:p>
        </w:tc>
        <w:tc>
          <w:tcPr>
            <w:tcW w:w="7074" w:type="dxa"/>
          </w:tcPr>
          <w:p w14:paraId="507446ED"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Annual Status Report</w:t>
            </w:r>
          </w:p>
        </w:tc>
      </w:tr>
      <w:tr w:rsidR="00F1472B" w:rsidRPr="00116356" w14:paraId="0A9E46B8"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684713D0" w14:textId="77777777" w:rsidR="00F1472B" w:rsidRPr="00116356" w:rsidRDefault="00F1472B" w:rsidP="002A068B">
            <w:pPr>
              <w:spacing w:line="240" w:lineRule="auto"/>
              <w:rPr>
                <w:rFonts w:cs="Arial"/>
                <w:sz w:val="20"/>
              </w:rPr>
            </w:pPr>
            <w:r w:rsidRPr="00116356">
              <w:rPr>
                <w:rFonts w:cs="Arial"/>
                <w:sz w:val="20"/>
              </w:rPr>
              <w:t>Defra</w:t>
            </w:r>
          </w:p>
        </w:tc>
        <w:tc>
          <w:tcPr>
            <w:tcW w:w="7074" w:type="dxa"/>
          </w:tcPr>
          <w:p w14:paraId="09CFF95E"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Department for Environment, Food and Rural Affairs</w:t>
            </w:r>
          </w:p>
        </w:tc>
      </w:tr>
      <w:tr w:rsidR="00F1472B" w:rsidRPr="00116356" w14:paraId="2E434AB3"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750BC3D4" w14:textId="77777777" w:rsidR="00F1472B" w:rsidRPr="00116356" w:rsidRDefault="00F1472B" w:rsidP="002A068B">
            <w:pPr>
              <w:spacing w:line="240" w:lineRule="auto"/>
              <w:rPr>
                <w:rFonts w:cs="Arial"/>
                <w:sz w:val="20"/>
                <w:vertAlign w:val="subscript"/>
              </w:rPr>
            </w:pPr>
            <w:r w:rsidRPr="00116356">
              <w:rPr>
                <w:rFonts w:cs="Arial"/>
                <w:sz w:val="20"/>
              </w:rPr>
              <w:t>DMRB</w:t>
            </w:r>
          </w:p>
        </w:tc>
        <w:tc>
          <w:tcPr>
            <w:tcW w:w="7074" w:type="dxa"/>
          </w:tcPr>
          <w:p w14:paraId="5F6484B0"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Design Manual for Roads and Bridges – Air quality screening tool produced by Highways England</w:t>
            </w:r>
          </w:p>
        </w:tc>
      </w:tr>
      <w:tr w:rsidR="00F1472B" w:rsidRPr="00116356" w14:paraId="415686C1"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66958B0B" w14:textId="5EAD62B5" w:rsidR="00F1472B" w:rsidRPr="00116356" w:rsidRDefault="00C95197" w:rsidP="002A068B">
            <w:pPr>
              <w:spacing w:line="240" w:lineRule="auto"/>
              <w:rPr>
                <w:rFonts w:cs="Arial"/>
                <w:sz w:val="20"/>
              </w:rPr>
            </w:pPr>
            <w:r>
              <w:rPr>
                <w:rFonts w:cs="Arial"/>
                <w:sz w:val="20"/>
              </w:rPr>
              <w:t>EU</w:t>
            </w:r>
          </w:p>
        </w:tc>
        <w:tc>
          <w:tcPr>
            <w:tcW w:w="7074" w:type="dxa"/>
          </w:tcPr>
          <w:p w14:paraId="120412EB" w14:textId="3884914A" w:rsidR="00F1472B" w:rsidRPr="00116356"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European Union</w:t>
            </w:r>
          </w:p>
        </w:tc>
      </w:tr>
      <w:tr w:rsidR="00C95197" w:rsidRPr="00116356" w14:paraId="28358C8E"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62484B3A" w14:textId="05A89F8B" w:rsidR="00C95197" w:rsidRDefault="00C95197" w:rsidP="002A068B">
            <w:pPr>
              <w:spacing w:line="240" w:lineRule="auto"/>
              <w:rPr>
                <w:rFonts w:cs="Arial"/>
                <w:sz w:val="20"/>
              </w:rPr>
            </w:pPr>
            <w:r>
              <w:rPr>
                <w:rFonts w:cs="Arial"/>
                <w:sz w:val="20"/>
              </w:rPr>
              <w:t>FDMS</w:t>
            </w:r>
          </w:p>
        </w:tc>
        <w:tc>
          <w:tcPr>
            <w:tcW w:w="7074" w:type="dxa"/>
          </w:tcPr>
          <w:p w14:paraId="0A7AE87C" w14:textId="1AF6867D"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Filter Dynamics Measurement System</w:t>
            </w:r>
          </w:p>
        </w:tc>
      </w:tr>
      <w:tr w:rsidR="00C95197" w:rsidRPr="00116356" w14:paraId="32A415C4"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0E80D262" w14:textId="522F4654" w:rsidR="00C95197" w:rsidRDefault="00C95197" w:rsidP="002A068B">
            <w:pPr>
              <w:spacing w:line="240" w:lineRule="auto"/>
              <w:rPr>
                <w:rFonts w:cs="Arial"/>
                <w:sz w:val="20"/>
              </w:rPr>
            </w:pPr>
            <w:r>
              <w:rPr>
                <w:rFonts w:cs="Arial"/>
                <w:sz w:val="20"/>
              </w:rPr>
              <w:t>LAQM</w:t>
            </w:r>
          </w:p>
        </w:tc>
        <w:tc>
          <w:tcPr>
            <w:tcW w:w="7074" w:type="dxa"/>
          </w:tcPr>
          <w:p w14:paraId="7F13B8C3" w14:textId="61E4EFD4"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Local Air Quality Management</w:t>
            </w:r>
          </w:p>
        </w:tc>
      </w:tr>
      <w:tr w:rsidR="00C95197" w:rsidRPr="00116356" w14:paraId="46C433EE"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36F93216" w14:textId="6F6DF1AB" w:rsidR="00C95197" w:rsidRPr="00C95197" w:rsidRDefault="00C95197" w:rsidP="002A068B">
            <w:pPr>
              <w:spacing w:line="240" w:lineRule="auto"/>
              <w:rPr>
                <w:rFonts w:cs="Arial"/>
                <w:sz w:val="20"/>
              </w:rPr>
            </w:pPr>
            <w:r>
              <w:rPr>
                <w:rFonts w:cs="Arial"/>
                <w:sz w:val="20"/>
              </w:rPr>
              <w:t>NO</w:t>
            </w:r>
            <w:r>
              <w:rPr>
                <w:rFonts w:cs="Arial"/>
                <w:sz w:val="20"/>
                <w:vertAlign w:val="subscript"/>
              </w:rPr>
              <w:t>2</w:t>
            </w:r>
          </w:p>
        </w:tc>
        <w:tc>
          <w:tcPr>
            <w:tcW w:w="7074" w:type="dxa"/>
          </w:tcPr>
          <w:p w14:paraId="11034D96" w14:textId="2ECF040C"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Nitrogen Dioxide</w:t>
            </w:r>
          </w:p>
        </w:tc>
      </w:tr>
      <w:tr w:rsidR="00C95197" w:rsidRPr="00116356" w14:paraId="639FAA25"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0D0BC5A3" w14:textId="55DAF071" w:rsidR="00C95197" w:rsidRPr="00C95197" w:rsidRDefault="00C95197" w:rsidP="002A068B">
            <w:pPr>
              <w:spacing w:line="240" w:lineRule="auto"/>
              <w:rPr>
                <w:rFonts w:cs="Arial"/>
                <w:sz w:val="20"/>
              </w:rPr>
            </w:pPr>
            <w:r>
              <w:rPr>
                <w:rFonts w:cs="Arial"/>
                <w:sz w:val="20"/>
              </w:rPr>
              <w:t>NO</w:t>
            </w:r>
            <w:r>
              <w:rPr>
                <w:rFonts w:cs="Arial"/>
                <w:sz w:val="20"/>
                <w:vertAlign w:val="subscript"/>
              </w:rPr>
              <w:t>x</w:t>
            </w:r>
          </w:p>
        </w:tc>
        <w:tc>
          <w:tcPr>
            <w:tcW w:w="7074" w:type="dxa"/>
          </w:tcPr>
          <w:p w14:paraId="17A9AEB2" w14:textId="44907237"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Nitrogen Oxides</w:t>
            </w:r>
          </w:p>
        </w:tc>
      </w:tr>
      <w:tr w:rsidR="00C95197" w:rsidRPr="00116356" w14:paraId="3ADEB56C"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4A3AD22D" w14:textId="6C28791B" w:rsidR="00C95197" w:rsidRPr="00C95197" w:rsidRDefault="00C95197" w:rsidP="002A068B">
            <w:pPr>
              <w:spacing w:line="240" w:lineRule="auto"/>
              <w:rPr>
                <w:rFonts w:cs="Arial"/>
                <w:sz w:val="20"/>
              </w:rPr>
            </w:pPr>
            <w:r>
              <w:rPr>
                <w:rFonts w:cs="Arial"/>
                <w:sz w:val="20"/>
              </w:rPr>
              <w:t>PM</w:t>
            </w:r>
            <w:r>
              <w:rPr>
                <w:rFonts w:cs="Arial"/>
                <w:sz w:val="20"/>
                <w:vertAlign w:val="subscript"/>
              </w:rPr>
              <w:t>10</w:t>
            </w:r>
          </w:p>
        </w:tc>
        <w:tc>
          <w:tcPr>
            <w:tcW w:w="7074" w:type="dxa"/>
          </w:tcPr>
          <w:p w14:paraId="4D9DD41A" w14:textId="4A6BC61B"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C95197">
              <w:rPr>
                <w:rFonts w:cs="Arial"/>
                <w:sz w:val="20"/>
              </w:rPr>
              <w:t>Airborne particulate matter with an aerodynamic diameter of 10µm or less</w:t>
            </w:r>
          </w:p>
        </w:tc>
      </w:tr>
      <w:tr w:rsidR="00C95197" w:rsidRPr="00116356" w14:paraId="2E8D1229"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09006DB9" w14:textId="4491ADEF" w:rsidR="00C95197" w:rsidRDefault="00C95197" w:rsidP="002A068B">
            <w:pPr>
              <w:spacing w:line="240" w:lineRule="auto"/>
              <w:rPr>
                <w:rFonts w:cs="Arial"/>
                <w:sz w:val="20"/>
              </w:rPr>
            </w:pPr>
            <w:r>
              <w:rPr>
                <w:rFonts w:cs="Arial"/>
                <w:sz w:val="20"/>
              </w:rPr>
              <w:t>PM</w:t>
            </w:r>
            <w:r w:rsidRPr="00C95197">
              <w:rPr>
                <w:rFonts w:cs="Arial"/>
                <w:sz w:val="20"/>
                <w:vertAlign w:val="subscript"/>
              </w:rPr>
              <w:t>2.5</w:t>
            </w:r>
          </w:p>
        </w:tc>
        <w:tc>
          <w:tcPr>
            <w:tcW w:w="7074" w:type="dxa"/>
          </w:tcPr>
          <w:p w14:paraId="707E0B86" w14:textId="7F024B28" w:rsidR="00C95197" w:rsidRP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C95197">
              <w:rPr>
                <w:rFonts w:cs="Arial"/>
                <w:sz w:val="20"/>
              </w:rPr>
              <w:t xml:space="preserve">Airborne particulate matter with an aerodynamic diameter of </w:t>
            </w:r>
            <w:r>
              <w:rPr>
                <w:rFonts w:cs="Arial"/>
                <w:sz w:val="20"/>
              </w:rPr>
              <w:t>2.5</w:t>
            </w:r>
            <w:r w:rsidRPr="00C95197">
              <w:rPr>
                <w:rFonts w:cs="Arial"/>
                <w:sz w:val="20"/>
              </w:rPr>
              <w:t>µm or less</w:t>
            </w:r>
          </w:p>
        </w:tc>
      </w:tr>
      <w:tr w:rsidR="00C95197" w:rsidRPr="00116356" w14:paraId="72A88278"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61691A05" w14:textId="345E8257" w:rsidR="00C95197" w:rsidRDefault="00C95197" w:rsidP="002A068B">
            <w:pPr>
              <w:spacing w:line="240" w:lineRule="auto"/>
              <w:rPr>
                <w:rFonts w:cs="Arial"/>
                <w:sz w:val="20"/>
              </w:rPr>
            </w:pPr>
            <w:r>
              <w:rPr>
                <w:rFonts w:cs="Arial"/>
                <w:sz w:val="20"/>
              </w:rPr>
              <w:t>QA/QC</w:t>
            </w:r>
          </w:p>
        </w:tc>
        <w:tc>
          <w:tcPr>
            <w:tcW w:w="7074" w:type="dxa"/>
          </w:tcPr>
          <w:p w14:paraId="18182DFA" w14:textId="7D7E2555" w:rsidR="00C95197" w:rsidRP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Quality Assurance and Quality Control</w:t>
            </w:r>
          </w:p>
        </w:tc>
      </w:tr>
      <w:tr w:rsidR="00C95197" w:rsidRPr="00116356" w14:paraId="192B0D0A"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51B1F8BB" w14:textId="7719550B" w:rsidR="00C95197" w:rsidRPr="00C95197" w:rsidRDefault="00C95197" w:rsidP="002A068B">
            <w:pPr>
              <w:spacing w:line="240" w:lineRule="auto"/>
              <w:rPr>
                <w:rFonts w:cs="Arial"/>
                <w:sz w:val="20"/>
              </w:rPr>
            </w:pPr>
            <w:r>
              <w:rPr>
                <w:rFonts w:cs="Arial"/>
                <w:sz w:val="20"/>
              </w:rPr>
              <w:t>SO</w:t>
            </w:r>
            <w:r>
              <w:rPr>
                <w:rFonts w:cs="Arial"/>
                <w:sz w:val="20"/>
                <w:vertAlign w:val="subscript"/>
              </w:rPr>
              <w:t>2</w:t>
            </w:r>
          </w:p>
        </w:tc>
        <w:tc>
          <w:tcPr>
            <w:tcW w:w="7074" w:type="dxa"/>
          </w:tcPr>
          <w:p w14:paraId="339FEBEF" w14:textId="5934522D"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Sulphur Dioxide</w:t>
            </w:r>
          </w:p>
        </w:tc>
      </w:tr>
      <w:tr w:rsidR="00C95197" w:rsidRPr="00116356" w14:paraId="4FF55A0A"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3C922956" w14:textId="77777777" w:rsidR="00C95197" w:rsidRDefault="00C95197" w:rsidP="002A068B">
            <w:pPr>
              <w:spacing w:line="240" w:lineRule="auto"/>
              <w:rPr>
                <w:rFonts w:cs="Arial"/>
                <w:sz w:val="20"/>
              </w:rPr>
            </w:pPr>
          </w:p>
        </w:tc>
        <w:tc>
          <w:tcPr>
            <w:tcW w:w="7074" w:type="dxa"/>
          </w:tcPr>
          <w:p w14:paraId="4E488A7A" w14:textId="77777777"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p>
        </w:tc>
      </w:tr>
      <w:bookmarkEnd w:id="9"/>
      <w:bookmarkEnd w:id="10"/>
    </w:tbl>
    <w:p w14:paraId="2F7C7B99" w14:textId="77777777" w:rsidR="0097313B" w:rsidRDefault="0097313B" w:rsidP="00400B0F">
      <w:pPr>
        <w:pStyle w:val="Heading1"/>
        <w:numPr>
          <w:ilvl w:val="0"/>
          <w:numId w:val="0"/>
        </w:numPr>
        <w:ind w:left="432" w:hanging="432"/>
        <w:sectPr w:rsidR="0097313B" w:rsidSect="003172A5">
          <w:pgSz w:w="11899" w:h="16838" w:code="9"/>
          <w:pgMar w:top="1134" w:right="1134" w:bottom="1134" w:left="1134" w:header="340" w:footer="340" w:gutter="0"/>
          <w:cols w:space="708"/>
          <w:docGrid w:linePitch="326"/>
        </w:sectPr>
      </w:pPr>
    </w:p>
    <w:p w14:paraId="559E5C1F" w14:textId="77777777" w:rsidR="0028203C" w:rsidRDefault="00F1472B" w:rsidP="00400B0F">
      <w:pPr>
        <w:pStyle w:val="Heading1"/>
        <w:numPr>
          <w:ilvl w:val="0"/>
          <w:numId w:val="0"/>
        </w:numPr>
        <w:ind w:left="432" w:hanging="432"/>
      </w:pPr>
      <w:bookmarkStart w:id="152" w:name="_Toc75438411"/>
      <w:r>
        <w:t>References</w:t>
      </w:r>
      <w:bookmarkEnd w:id="152"/>
    </w:p>
    <w:p w14:paraId="3740EC4D" w14:textId="150E783F" w:rsidR="00F1472B" w:rsidRDefault="00F1472B" w:rsidP="007D417B">
      <w:pPr>
        <w:pStyle w:val="ListParagraph"/>
        <w:numPr>
          <w:ilvl w:val="0"/>
          <w:numId w:val="8"/>
        </w:numPr>
      </w:pPr>
      <w:r>
        <w:t>Local Air Quality Management Technical Guidance LAQM.TG</w:t>
      </w:r>
      <w:r w:rsidR="009D56FA">
        <w:t>16</w:t>
      </w:r>
      <w:r>
        <w:t xml:space="preserve">. </w:t>
      </w:r>
      <w:r w:rsidR="009D56FA">
        <w:t>April</w:t>
      </w:r>
      <w:r>
        <w:t xml:space="preserve"> 20</w:t>
      </w:r>
      <w:r w:rsidR="009D56FA">
        <w:t>21</w:t>
      </w:r>
      <w:r>
        <w:t>. Published by Defra in partnership with the Scottish Government, Welsh Assembly Government and Department of the Environment Northern Ireland.</w:t>
      </w:r>
    </w:p>
    <w:p w14:paraId="20634194" w14:textId="44B2C44B" w:rsidR="009D56FA" w:rsidRDefault="00F1472B" w:rsidP="009D56FA">
      <w:pPr>
        <w:pStyle w:val="ListParagraph"/>
        <w:numPr>
          <w:ilvl w:val="0"/>
          <w:numId w:val="8"/>
        </w:numPr>
      </w:pPr>
      <w:r>
        <w:t>Local Air Quality Management Policy Guidance LAQM.PG16. May 2016. Published by Defra in partnership with the Scottish Government, Welsh Assembly Government and Department of the Environment Northern Ireland.</w:t>
      </w:r>
    </w:p>
    <w:p w14:paraId="49228331" w14:textId="191FE32C" w:rsidR="00996AA3" w:rsidRPr="00996AA3" w:rsidRDefault="00996AA3" w:rsidP="00236F98">
      <w:pPr>
        <w:pStyle w:val="ListParagraph"/>
        <w:numPr>
          <w:ilvl w:val="0"/>
          <w:numId w:val="8"/>
        </w:numPr>
        <w:rPr>
          <w:rFonts w:ascii="Times New Roman" w:hAnsi="Times New Roman"/>
          <w:szCs w:val="24"/>
          <w:lang w:val="de-DE" w:eastAsia="en-GB"/>
        </w:rPr>
      </w:pPr>
      <w:r w:rsidRPr="00996AA3">
        <w:rPr>
          <w:b/>
          <w:bCs/>
          <w:lang w:eastAsia="en-GB"/>
        </w:rPr>
        <w:t>Geoff Broughton Air Quality Data Management (AQDM</w:t>
      </w:r>
      <w:r>
        <w:rPr>
          <w:b/>
          <w:bCs/>
          <w:lang w:eastAsia="en-GB"/>
        </w:rPr>
        <w:t xml:space="preserve">) </w:t>
      </w:r>
      <w:hyperlink r:id="rId69" w:history="1">
        <w:r w:rsidRPr="008373C6">
          <w:rPr>
            <w:rStyle w:val="Hyperlink"/>
            <w:rFonts w:ascii="Times New Roman" w:hAnsi="Times New Roman"/>
            <w:szCs w:val="24"/>
            <w:lang w:val="de-DE" w:eastAsia="en-GB"/>
          </w:rPr>
          <w:t>Geoff.Broughton@aqdm.co.uk</w:t>
        </w:r>
      </w:hyperlink>
      <w:r w:rsidRPr="00996AA3">
        <w:rPr>
          <w:rFonts w:ascii="Times New Roman" w:hAnsi="Times New Roman"/>
          <w:szCs w:val="24"/>
          <w:lang w:val="de-DE" w:eastAsia="en-GB"/>
        </w:rPr>
        <w:t xml:space="preserve"> Tel: 01235 559761</w:t>
      </w:r>
    </w:p>
    <w:p w14:paraId="19213A01" w14:textId="472F169C" w:rsidR="00996AA3" w:rsidRDefault="00996AA3" w:rsidP="00996AA3">
      <w:pPr>
        <w:pStyle w:val="ListParagraph"/>
      </w:pPr>
      <w:r>
        <w:t>For continuous monitoring data and trend analysis.</w:t>
      </w:r>
    </w:p>
    <w:sectPr w:rsidR="00996AA3" w:rsidSect="003172A5">
      <w:pgSz w:w="11899" w:h="16838" w:code="9"/>
      <w:pgMar w:top="1134" w:right="1134" w:bottom="1134" w:left="1134" w:header="340" w:footer="3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F7690" w14:textId="77777777" w:rsidR="00B6413C" w:rsidRDefault="00B6413C" w:rsidP="002F321C">
      <w:r>
        <w:separator/>
      </w:r>
    </w:p>
    <w:p w14:paraId="1BB431A1" w14:textId="77777777" w:rsidR="00B6413C" w:rsidRDefault="00B6413C"/>
  </w:endnote>
  <w:endnote w:type="continuationSeparator" w:id="0">
    <w:p w14:paraId="4957B533" w14:textId="77777777" w:rsidR="00B6413C" w:rsidRDefault="00B6413C" w:rsidP="002F321C">
      <w:r>
        <w:continuationSeparator/>
      </w:r>
    </w:p>
    <w:p w14:paraId="44CF48A8" w14:textId="77777777" w:rsidR="00B6413C" w:rsidRDefault="00B6413C"/>
  </w:endnote>
  <w:endnote w:type="continuationNotice" w:id="1">
    <w:p w14:paraId="6592FE1E" w14:textId="77777777" w:rsidR="00B6413C" w:rsidRDefault="00B6413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A156" w14:textId="77777777" w:rsidR="009B37CB" w:rsidRDefault="009B37CB">
    <w:pPr>
      <w:pStyle w:val="Footer"/>
    </w:pPr>
    <w:r>
      <w:t>LAQM Annual Status Report 2021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23AE" w14:textId="3DC6D9DA" w:rsidR="009B37CB" w:rsidRPr="000F0F8E" w:rsidRDefault="009B37CB"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24</w:t>
    </w:r>
    <w:r w:rsidRPr="0080530F">
      <w:rPr>
        <w:shd w:val="clear" w:color="auto" w:fill="E6E6E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A4F5" w14:textId="786A0ED1" w:rsidR="009B37CB" w:rsidRPr="000F0F8E" w:rsidRDefault="009B37CB"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54</w:t>
    </w:r>
    <w:r w:rsidRPr="0080530F">
      <w:rPr>
        <w:shd w:val="clear" w:color="auto" w:fill="E6E6E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1FD1" w14:textId="77777777" w:rsidR="009B37CB" w:rsidRDefault="009B37CB">
    <w:pPr>
      <w:pStyle w:val="Footer"/>
    </w:pPr>
    <w:r>
      <w:t>LAQM Annual Status Report 2021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A86C" w14:textId="4F84E725" w:rsidR="009B37CB" w:rsidRPr="000F0F8E" w:rsidRDefault="009B37CB"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61</w:t>
    </w:r>
    <w:r w:rsidRPr="0080530F">
      <w:rPr>
        <w:shd w:val="clear" w:color="auto" w:fill="E6E6E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C313" w14:textId="77777777" w:rsidR="009B37CB" w:rsidRDefault="009B37CB">
    <w:pPr>
      <w:pStyle w:val="Footer"/>
    </w:pPr>
    <w:r>
      <w:t>LAQM Annual Status Report 2021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B77A" w14:textId="4565D570" w:rsidR="009B37CB" w:rsidRPr="000F0F8E" w:rsidRDefault="009B37CB"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72</w:t>
    </w:r>
    <w:r w:rsidRPr="0080530F">
      <w:rPr>
        <w:shd w:val="clear" w:color="auto" w:fill="E6E6E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7BC7" w14:textId="77777777" w:rsidR="009B37CB" w:rsidRDefault="009B37CB">
    <w:pPr>
      <w:pStyle w:val="Footer"/>
    </w:pPr>
    <w:r>
      <w:t>LAQM Annual Status Report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AF000" w14:textId="77777777" w:rsidR="009B37CB" w:rsidRDefault="009B37CB" w:rsidP="00C04D38">
    <w:pPr>
      <w:pStyle w:val="Footer"/>
    </w:pPr>
    <w:r w:rsidRPr="00F21ECA">
      <w:t>LAQM Annual Status Report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1D32" w14:textId="15E0E352" w:rsidR="009B37CB" w:rsidRPr="000F0F8E" w:rsidRDefault="009B37CB" w:rsidP="00C04D38">
    <w:pPr>
      <w:pStyle w:val="Footer"/>
      <w:rPr>
        <w:noProof/>
      </w:rPr>
    </w:pPr>
    <w:r w:rsidRPr="00F21ECA">
      <w:t>LAQM Annual Status Report 2021</w:t>
    </w:r>
    <w:r>
      <w:ptab w:relativeTo="margin" w:alignment="right" w:leader="none"/>
    </w:r>
    <w:r w:rsidRPr="006748E0">
      <w:rPr>
        <w:noProof/>
      </w:rPr>
      <w:fldChar w:fldCharType="begin"/>
    </w:r>
    <w:r w:rsidRPr="000F0F8E">
      <w:rPr>
        <w:noProof/>
      </w:rPr>
      <w:instrText xml:space="preserve"> PAGE   \* MERGEFORMAT </w:instrText>
    </w:r>
    <w:r w:rsidRPr="006748E0">
      <w:rPr>
        <w:noProof/>
      </w:rPr>
      <w:fldChar w:fldCharType="separate"/>
    </w:r>
    <w:r>
      <w:rPr>
        <w:noProof/>
      </w:rPr>
      <w:t>iii</w:t>
    </w:r>
    <w:r w:rsidRPr="006748E0">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474F" w14:textId="485FB86D" w:rsidR="009B37CB" w:rsidRPr="000F0F8E" w:rsidRDefault="009B37CB"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4</w:t>
    </w:r>
    <w:r w:rsidRPr="0080530F">
      <w:rPr>
        <w:shd w:val="clear" w:color="auto" w:fill="E6E6E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926E" w14:textId="4F514A11" w:rsidR="009B37CB" w:rsidRPr="000F0F8E" w:rsidRDefault="009B37CB"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6</w:t>
    </w:r>
    <w:r w:rsidRPr="0080530F">
      <w:rPr>
        <w:shd w:val="clear" w:color="auto" w:fill="E6E6E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ABAA" w14:textId="7DC3519F" w:rsidR="009B37CB" w:rsidRPr="000F0F8E" w:rsidRDefault="009B37CB"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8</w:t>
    </w:r>
    <w:r w:rsidRPr="0080530F">
      <w:rPr>
        <w:shd w:val="clear" w:color="auto" w:fill="E6E6E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52D4" w14:textId="7FD4DE0E" w:rsidR="009B37CB" w:rsidRPr="000F0F8E" w:rsidRDefault="009B37CB"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11</w:t>
    </w:r>
    <w:r w:rsidRPr="0080530F">
      <w:rPr>
        <w:shd w:val="clear" w:color="auto" w:fill="E6E6E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9EDC4" w14:textId="77777777" w:rsidR="009B37CB" w:rsidRDefault="009B37CB">
    <w:pPr>
      <w:pStyle w:val="Footer"/>
    </w:pPr>
    <w:r>
      <w:t>LAQM Annual Status Report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999C" w14:textId="08863E3D" w:rsidR="009B37CB" w:rsidRPr="000F0F8E" w:rsidRDefault="009B37CB"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16</w:t>
    </w:r>
    <w:r w:rsidRPr="0080530F">
      <w:rPr>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BF53C" w14:textId="77777777" w:rsidR="00B6413C" w:rsidRDefault="00B6413C" w:rsidP="002F321C">
      <w:r>
        <w:separator/>
      </w:r>
    </w:p>
  </w:footnote>
  <w:footnote w:type="continuationSeparator" w:id="0">
    <w:p w14:paraId="22338423" w14:textId="77777777" w:rsidR="00B6413C" w:rsidRDefault="00B6413C" w:rsidP="002F321C">
      <w:r>
        <w:continuationSeparator/>
      </w:r>
    </w:p>
    <w:p w14:paraId="2D60F600" w14:textId="77777777" w:rsidR="00B6413C" w:rsidRDefault="00B6413C"/>
  </w:footnote>
  <w:footnote w:type="continuationNotice" w:id="1">
    <w:p w14:paraId="1873BD47" w14:textId="77777777" w:rsidR="00B6413C" w:rsidRDefault="00B6413C">
      <w:pPr>
        <w:spacing w:before="0" w:after="0" w:line="240" w:lineRule="auto"/>
      </w:pPr>
    </w:p>
  </w:footnote>
  <w:footnote w:id="2">
    <w:p w14:paraId="16424628" w14:textId="49CA2DAC" w:rsidR="009B37CB" w:rsidRPr="005F2C58" w:rsidRDefault="009B37CB">
      <w:pPr>
        <w:pStyle w:val="FootnoteText"/>
        <w:rPr>
          <w:lang w:val="en-GB"/>
        </w:rPr>
      </w:pPr>
      <w:r w:rsidRPr="005F2C58">
        <w:rPr>
          <w:rStyle w:val="FootnoteReference"/>
          <w:lang w:val="en-GB"/>
        </w:rPr>
        <w:footnoteRef/>
      </w:r>
      <w:r w:rsidRPr="005F2C58">
        <w:rPr>
          <w:lang w:val="en-GB"/>
        </w:rPr>
        <w:t xml:space="preserve"> Public Health England. Air Quality: A Briefing for Directors of Public Health, 2017</w:t>
      </w:r>
    </w:p>
  </w:footnote>
  <w:footnote w:id="3">
    <w:p w14:paraId="078A178B" w14:textId="76A69DEF" w:rsidR="009B37CB" w:rsidRPr="005F2C58" w:rsidRDefault="009B37CB">
      <w:pPr>
        <w:pStyle w:val="FootnoteText"/>
        <w:rPr>
          <w:lang w:val="en-GB"/>
        </w:rPr>
      </w:pPr>
      <w:r w:rsidRPr="005F2C58">
        <w:rPr>
          <w:rStyle w:val="FootnoteReference"/>
          <w:lang w:val="en-GB"/>
        </w:rPr>
        <w:footnoteRef/>
      </w:r>
      <w:r w:rsidRPr="005F2C58">
        <w:rPr>
          <w:lang w:val="en-GB"/>
        </w:rPr>
        <w:t xml:space="preserve"> Defra. Air quality and social deprivation in the UK: an environmental inequalities analysis, 2006</w:t>
      </w:r>
    </w:p>
  </w:footnote>
  <w:footnote w:id="4">
    <w:p w14:paraId="69AF453A" w14:textId="4157B63B" w:rsidR="009B37CB" w:rsidRPr="005F2C58" w:rsidRDefault="009B37CB">
      <w:pPr>
        <w:pStyle w:val="FootnoteText"/>
        <w:rPr>
          <w:lang w:val="en-GB"/>
        </w:rPr>
      </w:pPr>
      <w:r w:rsidRPr="005F2C58">
        <w:rPr>
          <w:rStyle w:val="FootnoteReference"/>
          <w:lang w:val="en-GB"/>
        </w:rPr>
        <w:footnoteRef/>
      </w:r>
      <w:r w:rsidRPr="005F2C58">
        <w:rPr>
          <w:lang w:val="en-GB"/>
        </w:rPr>
        <w:t xml:space="preserve"> Defra. Air quality appraisal: damage cost guidance, July 2020</w:t>
      </w:r>
    </w:p>
  </w:footnote>
  <w:footnote w:id="5">
    <w:p w14:paraId="57B5ED03" w14:textId="70EDB2CB" w:rsidR="009B37CB" w:rsidRPr="005F2C58" w:rsidRDefault="009B37CB">
      <w:pPr>
        <w:pStyle w:val="FootnoteText"/>
        <w:rPr>
          <w:lang w:val="en-GB"/>
        </w:rPr>
      </w:pPr>
      <w:r w:rsidRPr="005F2C58">
        <w:rPr>
          <w:rStyle w:val="FootnoteReference"/>
          <w:lang w:val="en-GB"/>
        </w:rPr>
        <w:footnoteRef/>
      </w:r>
      <w:r w:rsidRPr="005F2C58">
        <w:rPr>
          <w:lang w:val="en-GB"/>
        </w:rPr>
        <w:t xml:space="preserve"> Public Health England. Estimation of costs to the NHS and social care due to the health impacts of air pollution: summary report, May 2018</w:t>
      </w:r>
    </w:p>
  </w:footnote>
  <w:footnote w:id="6">
    <w:p w14:paraId="266AF46A" w14:textId="3AA815F7" w:rsidR="009B37CB" w:rsidRPr="005F2C58" w:rsidRDefault="009B37CB">
      <w:pPr>
        <w:pStyle w:val="FootnoteText"/>
        <w:rPr>
          <w:lang w:val="en-GB"/>
        </w:rPr>
      </w:pPr>
      <w:r w:rsidRPr="005F2C58">
        <w:rPr>
          <w:rStyle w:val="FootnoteReference"/>
          <w:lang w:val="en-GB"/>
        </w:rPr>
        <w:footnoteRef/>
      </w:r>
      <w:r w:rsidRPr="005F2C58">
        <w:rPr>
          <w:lang w:val="en-GB"/>
        </w:rPr>
        <w:t xml:space="preserve"> Defra. Clean Air Strategy, 2019</w:t>
      </w:r>
    </w:p>
  </w:footnote>
  <w:footnote w:id="7">
    <w:p w14:paraId="6183920E" w14:textId="74B7F85D" w:rsidR="009B37CB" w:rsidRPr="005F2C58" w:rsidRDefault="009B37CB">
      <w:pPr>
        <w:pStyle w:val="FootnoteText"/>
        <w:rPr>
          <w:lang w:val="en-GB"/>
        </w:rPr>
      </w:pPr>
      <w:r w:rsidRPr="005F2C58">
        <w:rPr>
          <w:rStyle w:val="FootnoteReference"/>
          <w:lang w:val="en-GB"/>
        </w:rPr>
        <w:footnoteRef/>
      </w:r>
      <w:r w:rsidRPr="005F2C58">
        <w:rPr>
          <w:lang w:val="en-GB"/>
        </w:rPr>
        <w:t xml:space="preserve"> DfT. The Road to Zero: Next steps towards cleaner road transport and delivering our Industrial Strategy, July 2018</w:t>
      </w:r>
    </w:p>
  </w:footnote>
  <w:footnote w:id="8">
    <w:p w14:paraId="381FB77B" w14:textId="77777777" w:rsidR="009B37CB" w:rsidRDefault="009B37CB" w:rsidP="002C7F93">
      <w:pPr>
        <w:pStyle w:val="FootnoteText"/>
      </w:pPr>
      <w:r>
        <w:rPr>
          <w:rStyle w:val="FootnoteReference"/>
        </w:rPr>
        <w:footnoteRef/>
      </w:r>
      <w:r>
        <w:t xml:space="preserve"> </w:t>
      </w:r>
      <w:hyperlink r:id="rId1" w:anchor="page/4/gid/1000043/pat/6/par/E12000001/ati/102/are/E08000023/iid/30101/age/230/sex/4/cid/4/page-options/ovw-do-0_car-do-0" w:history="1">
        <w:r w:rsidRPr="00D74F1A">
          <w:rPr>
            <w:rStyle w:val="Hyperlink"/>
          </w:rPr>
          <w:t>https://fingertips.phe.org.uk/profile/public-health-outcomes-framework/data#page/4/gid/1000043/pat/6/par/E12000001/ati/102/are/E08000023/iid/30101/age/230/sex/4/cid/4/page-options/ovw-do-0_car-do-0</w:t>
        </w:r>
      </w:hyperlink>
    </w:p>
    <w:p w14:paraId="33CEB091" w14:textId="77777777" w:rsidR="009B37CB" w:rsidRDefault="009B37CB" w:rsidP="002C7F93">
      <w:pPr>
        <w:pStyle w:val="FootnoteText"/>
      </w:pPr>
    </w:p>
  </w:footnote>
  <w:footnote w:id="9">
    <w:p w14:paraId="1B587E13" w14:textId="77777777" w:rsidR="009B37CB" w:rsidRDefault="009B37CB" w:rsidP="002C7F93">
      <w:pPr>
        <w:pStyle w:val="FootnoteText"/>
      </w:pPr>
      <w:r>
        <w:rPr>
          <w:rStyle w:val="FootnoteReference"/>
        </w:rPr>
        <w:footnoteRef/>
      </w:r>
      <w:r>
        <w:t xml:space="preserve"> </w:t>
      </w:r>
      <w:hyperlink r:id="rId2" w:anchor="page/3/gid/1/pat/6/par/E12000001/ati/201/are/E08000023/iid/92302/age/202/sex/4/cid/4/tbm/1/page-options/ovw-do-0_car-do-0" w:history="1">
        <w:r w:rsidRPr="00A07E8B">
          <w:rPr>
            <w:rStyle w:val="Hyperlink"/>
          </w:rPr>
          <w:t>Emergency hospital admissions for COPD South Tyneside</w:t>
        </w:r>
      </w:hyperlink>
    </w:p>
  </w:footnote>
  <w:footnote w:id="10">
    <w:p w14:paraId="2CE958C0" w14:textId="77777777" w:rsidR="009B37CB" w:rsidRDefault="009B37CB" w:rsidP="002C7F93">
      <w:pPr>
        <w:pStyle w:val="FootnoteText"/>
      </w:pPr>
      <w:r>
        <w:rPr>
          <w:rStyle w:val="FootnoteReference"/>
        </w:rPr>
        <w:footnoteRef/>
      </w:r>
      <w:r>
        <w:t xml:space="preserve"> </w:t>
      </w:r>
      <w:hyperlink r:id="rId3" w:history="1">
        <w:r w:rsidRPr="00A07E8B">
          <w:rPr>
            <w:rStyle w:val="Hyperlink"/>
          </w:rPr>
          <w:t>Admissions for asthma for children aged 0 to 9 South Tyneside</w:t>
        </w:r>
      </w:hyperlink>
    </w:p>
  </w:footnote>
  <w:footnote w:id="11">
    <w:p w14:paraId="0EFE79EC" w14:textId="77777777" w:rsidR="009B37CB" w:rsidRDefault="009B37CB" w:rsidP="002C7F93">
      <w:pPr>
        <w:pStyle w:val="FootnoteText"/>
      </w:pPr>
      <w:r>
        <w:rPr>
          <w:rStyle w:val="FootnoteReference"/>
        </w:rPr>
        <w:footnoteRef/>
      </w:r>
      <w:r>
        <w:t xml:space="preserve"> </w:t>
      </w:r>
      <w:hyperlink r:id="rId4" w:history="1">
        <w:r w:rsidRPr="00A07E8B">
          <w:rPr>
            <w:rStyle w:val="Hyperlink"/>
          </w:rPr>
          <w:t>Admissions for asthma for young people aged 10 to 18 South Tyneside</w:t>
        </w:r>
      </w:hyperlink>
    </w:p>
  </w:footnote>
  <w:footnote w:id="12">
    <w:p w14:paraId="5E3BA75E" w14:textId="404FC55D" w:rsidR="009B37CB" w:rsidRPr="005F2C58" w:rsidRDefault="009B37CB">
      <w:pPr>
        <w:pStyle w:val="FootnoteText"/>
        <w:rPr>
          <w:lang w:val="en-GB"/>
        </w:rPr>
      </w:pPr>
      <w:r w:rsidRPr="005F2C58">
        <w:rPr>
          <w:rStyle w:val="FootnoteReference"/>
          <w:lang w:val="en-GB"/>
        </w:rPr>
        <w:footnoteRef/>
      </w:r>
      <w:r w:rsidRPr="005F2C58">
        <w:rPr>
          <w:lang w:val="en-GB"/>
        </w:rPr>
        <w:t xml:space="preserve"> The units are in microgramme</w:t>
      </w:r>
      <w:r>
        <w:rPr>
          <w:lang w:val="en-GB"/>
        </w:rPr>
        <w:t>s</w:t>
      </w:r>
      <w:r w:rsidRPr="005F2C58">
        <w:rPr>
          <w:lang w:val="en-GB"/>
        </w:rPr>
        <w:t xml:space="preserve"> of pollutant per cubic metre of air (µg/m</w:t>
      </w:r>
      <w:r w:rsidRPr="005F2C58">
        <w:rPr>
          <w:vertAlign w:val="superscript"/>
          <w:lang w:val="en-GB"/>
        </w:rPr>
        <w:t>3</w:t>
      </w:r>
      <w:r w:rsidRPr="005F2C58">
        <w:rPr>
          <w:lang w:val="en-GB"/>
        </w:rPr>
        <w:t>).</w:t>
      </w:r>
    </w:p>
  </w:footnote>
  <w:footnote w:id="13">
    <w:p w14:paraId="61A5535F" w14:textId="77777777" w:rsidR="009B37CB" w:rsidRPr="005F2C58" w:rsidRDefault="009B37CB" w:rsidP="002D5EAF">
      <w:pPr>
        <w:pStyle w:val="FootnoteText"/>
        <w:rPr>
          <w:lang w:val="en-GB"/>
        </w:rPr>
      </w:pPr>
      <w:r w:rsidRPr="005F2C58">
        <w:rPr>
          <w:rStyle w:val="FootnoteReference"/>
          <w:lang w:val="en-GB"/>
        </w:rPr>
        <w:footnoteRef/>
      </w:r>
      <w:r w:rsidRPr="005F2C58">
        <w:rPr>
          <w:lang w:val="en-GB"/>
        </w:rPr>
        <w:t xml:space="preserve"> Prime Minister’s Office, COVID-19 briefing on the 31</w:t>
      </w:r>
      <w:r w:rsidRPr="005F2C58">
        <w:rPr>
          <w:vertAlign w:val="superscript"/>
          <w:lang w:val="en-GB"/>
        </w:rPr>
        <w:t>st</w:t>
      </w:r>
      <w:r w:rsidRPr="005F2C58">
        <w:rPr>
          <w:lang w:val="en-GB"/>
        </w:rPr>
        <w:t xml:space="preserve"> of May 2020</w:t>
      </w:r>
    </w:p>
  </w:footnote>
  <w:footnote w:id="14">
    <w:p w14:paraId="1E7C4EA9" w14:textId="77777777" w:rsidR="009B37CB" w:rsidRPr="005F2C58" w:rsidRDefault="009B37CB" w:rsidP="002D5EAF">
      <w:pPr>
        <w:pStyle w:val="FootnoteText"/>
        <w:rPr>
          <w:lang w:val="en-GB"/>
        </w:rPr>
      </w:pPr>
      <w:r w:rsidRPr="005F2C58">
        <w:rPr>
          <w:rStyle w:val="FootnoteReference"/>
          <w:lang w:val="en-GB"/>
        </w:rPr>
        <w:footnoteRef/>
      </w:r>
      <w:r w:rsidRPr="005F2C58">
        <w:rPr>
          <w:lang w:val="en-GB"/>
        </w:rPr>
        <w:t xml:space="preserve"> Air Quality Expert Group, Estimation of changes in air pollution emissions, concentrations and exposure during the COVID-19 outbreak in the UK, June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5D72" w14:textId="77777777" w:rsidR="009B37CB" w:rsidRDefault="009B37CB">
    <w:pPr>
      <w:pStyle w:val="Header"/>
    </w:pPr>
    <w:r>
      <w:t>Test Accessibility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23F3" w14:textId="6AAD72DF" w:rsidR="009B37CB" w:rsidRDefault="009B37CB" w:rsidP="00F21ECA">
    <w:pPr>
      <w:pStyle w:val="Header"/>
    </w:pPr>
    <w:r>
      <w:t>South Tyneside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266"/>
    <w:multiLevelType w:val="hybridMultilevel"/>
    <w:tmpl w:val="7B0AA1C0"/>
    <w:lvl w:ilvl="0" w:tplc="B1B4CDD8">
      <w:start w:val="1"/>
      <w:numFmt w:val="decimal"/>
      <w:lvlText w:val="%1."/>
      <w:lvlJc w:val="left"/>
      <w:pPr>
        <w:ind w:left="930" w:hanging="57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C343C"/>
    <w:multiLevelType w:val="hybridMultilevel"/>
    <w:tmpl w:val="63763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911A4"/>
    <w:multiLevelType w:val="hybridMultilevel"/>
    <w:tmpl w:val="08CCF692"/>
    <w:lvl w:ilvl="0" w:tplc="BEFE9A18">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BB3D0F"/>
    <w:multiLevelType w:val="hybridMultilevel"/>
    <w:tmpl w:val="2E943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E4F36"/>
    <w:multiLevelType w:val="hybridMultilevel"/>
    <w:tmpl w:val="2564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A5472"/>
    <w:multiLevelType w:val="hybridMultilevel"/>
    <w:tmpl w:val="B39A9AC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C438EE"/>
    <w:multiLevelType w:val="hybridMultilevel"/>
    <w:tmpl w:val="ED845F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26314F1"/>
    <w:multiLevelType w:val="hybridMultilevel"/>
    <w:tmpl w:val="41B296D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17F53460"/>
    <w:multiLevelType w:val="hybridMultilevel"/>
    <w:tmpl w:val="847051A4"/>
    <w:lvl w:ilvl="0" w:tplc="65782F80">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1C6E5B1B"/>
    <w:multiLevelType w:val="hybridMultilevel"/>
    <w:tmpl w:val="B6488776"/>
    <w:lvl w:ilvl="0" w:tplc="61D8F6E8">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0904A3"/>
    <w:multiLevelType w:val="hybridMultilevel"/>
    <w:tmpl w:val="17405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C233A"/>
    <w:multiLevelType w:val="hybridMultilevel"/>
    <w:tmpl w:val="44E20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5F3658"/>
    <w:multiLevelType w:val="hybridMultilevel"/>
    <w:tmpl w:val="FFD2AC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EE67363"/>
    <w:multiLevelType w:val="hybridMultilevel"/>
    <w:tmpl w:val="BEA8D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EF0C30"/>
    <w:multiLevelType w:val="hybridMultilevel"/>
    <w:tmpl w:val="9710A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DD24B4"/>
    <w:multiLevelType w:val="hybridMultilevel"/>
    <w:tmpl w:val="6978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0062A4"/>
    <w:multiLevelType w:val="hybridMultilevel"/>
    <w:tmpl w:val="11EAB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15733"/>
    <w:multiLevelType w:val="hybridMultilevel"/>
    <w:tmpl w:val="128A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556888"/>
    <w:multiLevelType w:val="hybridMultilevel"/>
    <w:tmpl w:val="C830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C662D"/>
    <w:multiLevelType w:val="multilevel"/>
    <w:tmpl w:val="BF4C3DBC"/>
    <w:lvl w:ilvl="0">
      <w:start w:val="1"/>
      <w:numFmt w:val="decimal"/>
      <w:lvlText w:val="%1."/>
      <w:lvlJc w:val="left"/>
      <w:pPr>
        <w:tabs>
          <w:tab w:val="num" w:pos="720"/>
        </w:tabs>
        <w:ind w:left="720" w:hanging="363"/>
      </w:pPr>
      <w:rPr>
        <w:rFonts w:hint="default"/>
        <w:b w:val="0"/>
        <w:i w:val="0"/>
        <w:color w:val="00000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4948256A"/>
    <w:multiLevelType w:val="hybridMultilevel"/>
    <w:tmpl w:val="299A8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E71E04"/>
    <w:multiLevelType w:val="hybridMultilevel"/>
    <w:tmpl w:val="56F69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831778"/>
    <w:multiLevelType w:val="hybridMultilevel"/>
    <w:tmpl w:val="2AA2D1B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5A441B2D"/>
    <w:multiLevelType w:val="hybridMultilevel"/>
    <w:tmpl w:val="6CE27930"/>
    <w:lvl w:ilvl="0" w:tplc="08090001">
      <w:start w:val="1"/>
      <w:numFmt w:val="bullet"/>
      <w:lvlText w:val=""/>
      <w:lvlJc w:val="left"/>
      <w:pPr>
        <w:ind w:left="930" w:hanging="57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E53EF5"/>
    <w:multiLevelType w:val="multilevel"/>
    <w:tmpl w:val="13AC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46318E"/>
    <w:multiLevelType w:val="multilevel"/>
    <w:tmpl w:val="C42EBE98"/>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1D3AC1"/>
    <w:multiLevelType w:val="hybridMultilevel"/>
    <w:tmpl w:val="89DE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763914"/>
    <w:multiLevelType w:val="hybridMultilevel"/>
    <w:tmpl w:val="07849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DA14E8"/>
    <w:multiLevelType w:val="hybridMultilevel"/>
    <w:tmpl w:val="656EA2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517DA1"/>
    <w:multiLevelType w:val="hybridMultilevel"/>
    <w:tmpl w:val="46407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5701021"/>
    <w:multiLevelType w:val="hybridMultilevel"/>
    <w:tmpl w:val="EEB0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7122F7"/>
    <w:multiLevelType w:val="hybridMultilevel"/>
    <w:tmpl w:val="31969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F80B8B"/>
    <w:multiLevelType w:val="hybridMultilevel"/>
    <w:tmpl w:val="17080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B9F4FB4"/>
    <w:multiLevelType w:val="hybridMultilevel"/>
    <w:tmpl w:val="B8D2C2BE"/>
    <w:lvl w:ilvl="0" w:tplc="61D8F6E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F61058"/>
    <w:multiLevelType w:val="hybridMultilevel"/>
    <w:tmpl w:val="8A9E6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24"/>
  </w:num>
  <w:num w:numId="4">
    <w:abstractNumId w:val="15"/>
  </w:num>
  <w:num w:numId="5">
    <w:abstractNumId w:val="36"/>
  </w:num>
  <w:num w:numId="6">
    <w:abstractNumId w:val="38"/>
  </w:num>
  <w:num w:numId="7">
    <w:abstractNumId w:val="9"/>
  </w:num>
  <w:num w:numId="8">
    <w:abstractNumId w:val="11"/>
  </w:num>
  <w:num w:numId="9">
    <w:abstractNumId w:val="28"/>
  </w:num>
  <w:num w:numId="10">
    <w:abstractNumId w:val="1"/>
  </w:num>
  <w:num w:numId="11">
    <w:abstractNumId w:val="19"/>
  </w:num>
  <w:num w:numId="12">
    <w:abstractNumId w:val="30"/>
  </w:num>
  <w:num w:numId="13">
    <w:abstractNumId w:val="14"/>
  </w:num>
  <w:num w:numId="14">
    <w:abstractNumId w:val="20"/>
  </w:num>
  <w:num w:numId="15">
    <w:abstractNumId w:val="32"/>
  </w:num>
  <w:num w:numId="16">
    <w:abstractNumId w:val="18"/>
  </w:num>
  <w:num w:numId="17">
    <w:abstractNumId w:val="17"/>
  </w:num>
  <w:num w:numId="18">
    <w:abstractNumId w:val="16"/>
  </w:num>
  <w:num w:numId="19">
    <w:abstractNumId w:val="22"/>
  </w:num>
  <w:num w:numId="20">
    <w:abstractNumId w:val="12"/>
  </w:num>
  <w:num w:numId="21">
    <w:abstractNumId w:val="3"/>
  </w:num>
  <w:num w:numId="22">
    <w:abstractNumId w:val="37"/>
  </w:num>
  <w:num w:numId="23">
    <w:abstractNumId w:val="34"/>
  </w:num>
  <w:num w:numId="24">
    <w:abstractNumId w:val="39"/>
  </w:num>
  <w:num w:numId="25">
    <w:abstractNumId w:val="2"/>
  </w:num>
  <w:num w:numId="26">
    <w:abstractNumId w:val="23"/>
  </w:num>
  <w:num w:numId="27">
    <w:abstractNumId w:val="5"/>
  </w:num>
  <w:num w:numId="28">
    <w:abstractNumId w:val="0"/>
  </w:num>
  <w:num w:numId="29">
    <w:abstractNumId w:val="28"/>
    <w:lvlOverride w:ilvl="0">
      <w:startOverride w:val="3"/>
    </w:lvlOverride>
    <w:lvlOverride w:ilvl="1">
      <w:startOverride w:val="2"/>
    </w:lvlOverride>
    <w:lvlOverride w:ilvl="2">
      <w:startOverride w:val="1"/>
    </w:lvlOverride>
  </w:num>
  <w:num w:numId="30">
    <w:abstractNumId w:val="28"/>
    <w:lvlOverride w:ilvl="0">
      <w:startOverride w:val="3"/>
    </w:lvlOverride>
    <w:lvlOverride w:ilvl="1">
      <w:startOverride w:val="2"/>
    </w:lvlOverride>
    <w:lvlOverride w:ilvl="2">
      <w:startOverride w:val="1"/>
    </w:lvlOverride>
  </w:num>
  <w:num w:numId="31">
    <w:abstractNumId w:val="21"/>
  </w:num>
  <w:num w:numId="32">
    <w:abstractNumId w:val="25"/>
  </w:num>
  <w:num w:numId="33">
    <w:abstractNumId w:val="7"/>
  </w:num>
  <w:num w:numId="34">
    <w:abstractNumId w:val="4"/>
  </w:num>
  <w:num w:numId="35">
    <w:abstractNumId w:val="41"/>
  </w:num>
  <w:num w:numId="36">
    <w:abstractNumId w:val="27"/>
  </w:num>
  <w:num w:numId="37">
    <w:abstractNumId w:val="26"/>
  </w:num>
  <w:num w:numId="38">
    <w:abstractNumId w:val="37"/>
  </w:num>
  <w:num w:numId="39">
    <w:abstractNumId w:val="6"/>
  </w:num>
  <w:num w:numId="40">
    <w:abstractNumId w:val="6"/>
  </w:num>
  <w:num w:numId="41">
    <w:abstractNumId w:val="8"/>
  </w:num>
  <w:num w:numId="42">
    <w:abstractNumId w:val="35"/>
  </w:num>
  <w:num w:numId="43">
    <w:abstractNumId w:val="35"/>
  </w:num>
  <w:num w:numId="44">
    <w:abstractNumId w:val="40"/>
  </w:num>
  <w:num w:numId="45">
    <w:abstractNumId w:val="10"/>
  </w:num>
  <w:num w:numId="46">
    <w:abstractNumId w:val="13"/>
  </w:num>
  <w:num w:numId="47">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F"/>
    <w:rsid w:val="0000020B"/>
    <w:rsid w:val="0000052B"/>
    <w:rsid w:val="00002930"/>
    <w:rsid w:val="00002DDB"/>
    <w:rsid w:val="00002F88"/>
    <w:rsid w:val="0000334A"/>
    <w:rsid w:val="00004F77"/>
    <w:rsid w:val="00005460"/>
    <w:rsid w:val="0000580B"/>
    <w:rsid w:val="00005A10"/>
    <w:rsid w:val="00005C05"/>
    <w:rsid w:val="000066D0"/>
    <w:rsid w:val="00013268"/>
    <w:rsid w:val="0001678E"/>
    <w:rsid w:val="00017076"/>
    <w:rsid w:val="00017A20"/>
    <w:rsid w:val="00020AFD"/>
    <w:rsid w:val="00020B79"/>
    <w:rsid w:val="00023358"/>
    <w:rsid w:val="00023883"/>
    <w:rsid w:val="000239B6"/>
    <w:rsid w:val="000253BD"/>
    <w:rsid w:val="00025E3A"/>
    <w:rsid w:val="0002740F"/>
    <w:rsid w:val="000278C7"/>
    <w:rsid w:val="00031608"/>
    <w:rsid w:val="00031742"/>
    <w:rsid w:val="00032EB4"/>
    <w:rsid w:val="0003326A"/>
    <w:rsid w:val="00034787"/>
    <w:rsid w:val="0003556F"/>
    <w:rsid w:val="00035BA7"/>
    <w:rsid w:val="00037E1D"/>
    <w:rsid w:val="000403BB"/>
    <w:rsid w:val="00042473"/>
    <w:rsid w:val="000449DD"/>
    <w:rsid w:val="00046D82"/>
    <w:rsid w:val="00047257"/>
    <w:rsid w:val="00047AB1"/>
    <w:rsid w:val="00050908"/>
    <w:rsid w:val="000535F5"/>
    <w:rsid w:val="00053C0B"/>
    <w:rsid w:val="000540C8"/>
    <w:rsid w:val="0005559A"/>
    <w:rsid w:val="00056EB2"/>
    <w:rsid w:val="00057683"/>
    <w:rsid w:val="000579C7"/>
    <w:rsid w:val="00061961"/>
    <w:rsid w:val="000621C7"/>
    <w:rsid w:val="00064C9A"/>
    <w:rsid w:val="00066C0C"/>
    <w:rsid w:val="000674D3"/>
    <w:rsid w:val="00067860"/>
    <w:rsid w:val="00067B63"/>
    <w:rsid w:val="0007166E"/>
    <w:rsid w:val="000716CA"/>
    <w:rsid w:val="00071B6B"/>
    <w:rsid w:val="00071CAF"/>
    <w:rsid w:val="00076540"/>
    <w:rsid w:val="0007721B"/>
    <w:rsid w:val="00080283"/>
    <w:rsid w:val="000831FD"/>
    <w:rsid w:val="0008563D"/>
    <w:rsid w:val="000906FC"/>
    <w:rsid w:val="00090C17"/>
    <w:rsid w:val="000910A2"/>
    <w:rsid w:val="00093C3A"/>
    <w:rsid w:val="000953CE"/>
    <w:rsid w:val="00096D90"/>
    <w:rsid w:val="000A4A5A"/>
    <w:rsid w:val="000A54BF"/>
    <w:rsid w:val="000A55BD"/>
    <w:rsid w:val="000A57E8"/>
    <w:rsid w:val="000A6A96"/>
    <w:rsid w:val="000A7D0D"/>
    <w:rsid w:val="000B18C3"/>
    <w:rsid w:val="000B31E6"/>
    <w:rsid w:val="000B5C95"/>
    <w:rsid w:val="000C1797"/>
    <w:rsid w:val="000C3664"/>
    <w:rsid w:val="000C46CD"/>
    <w:rsid w:val="000C7210"/>
    <w:rsid w:val="000C7377"/>
    <w:rsid w:val="000D0488"/>
    <w:rsid w:val="000D0521"/>
    <w:rsid w:val="000D3164"/>
    <w:rsid w:val="000D387C"/>
    <w:rsid w:val="000D4412"/>
    <w:rsid w:val="000D5BB6"/>
    <w:rsid w:val="000D6DDF"/>
    <w:rsid w:val="000D6DF2"/>
    <w:rsid w:val="000D7062"/>
    <w:rsid w:val="000E160D"/>
    <w:rsid w:val="000E33FA"/>
    <w:rsid w:val="000E4C14"/>
    <w:rsid w:val="000E577D"/>
    <w:rsid w:val="000E7891"/>
    <w:rsid w:val="000F05F1"/>
    <w:rsid w:val="000F07BB"/>
    <w:rsid w:val="000F0F8E"/>
    <w:rsid w:val="000F1F6E"/>
    <w:rsid w:val="000F3113"/>
    <w:rsid w:val="000F4398"/>
    <w:rsid w:val="000F46BF"/>
    <w:rsid w:val="000F533C"/>
    <w:rsid w:val="000F621C"/>
    <w:rsid w:val="000F6AD1"/>
    <w:rsid w:val="000F75A5"/>
    <w:rsid w:val="00100B0B"/>
    <w:rsid w:val="00102F86"/>
    <w:rsid w:val="00102FC8"/>
    <w:rsid w:val="001040C8"/>
    <w:rsid w:val="00104373"/>
    <w:rsid w:val="001045C3"/>
    <w:rsid w:val="001045F1"/>
    <w:rsid w:val="001125F6"/>
    <w:rsid w:val="00113634"/>
    <w:rsid w:val="0011381E"/>
    <w:rsid w:val="00114C3A"/>
    <w:rsid w:val="00116356"/>
    <w:rsid w:val="00116942"/>
    <w:rsid w:val="00117D5E"/>
    <w:rsid w:val="00117E08"/>
    <w:rsid w:val="00121143"/>
    <w:rsid w:val="00121659"/>
    <w:rsid w:val="0012223F"/>
    <w:rsid w:val="001228E2"/>
    <w:rsid w:val="00122DE0"/>
    <w:rsid w:val="00123C0E"/>
    <w:rsid w:val="001243D3"/>
    <w:rsid w:val="00127A38"/>
    <w:rsid w:val="00130A54"/>
    <w:rsid w:val="001314FB"/>
    <w:rsid w:val="001331EE"/>
    <w:rsid w:val="00133D47"/>
    <w:rsid w:val="00135BC3"/>
    <w:rsid w:val="001370BD"/>
    <w:rsid w:val="00137265"/>
    <w:rsid w:val="00137E49"/>
    <w:rsid w:val="0014025A"/>
    <w:rsid w:val="00140435"/>
    <w:rsid w:val="00140935"/>
    <w:rsid w:val="00141011"/>
    <w:rsid w:val="00141AA2"/>
    <w:rsid w:val="00141CE1"/>
    <w:rsid w:val="00142748"/>
    <w:rsid w:val="0014735F"/>
    <w:rsid w:val="001537B0"/>
    <w:rsid w:val="0015608E"/>
    <w:rsid w:val="001560C9"/>
    <w:rsid w:val="001564B7"/>
    <w:rsid w:val="00156E0F"/>
    <w:rsid w:val="0015782E"/>
    <w:rsid w:val="00160136"/>
    <w:rsid w:val="001605EC"/>
    <w:rsid w:val="0016262C"/>
    <w:rsid w:val="0016308C"/>
    <w:rsid w:val="001706BD"/>
    <w:rsid w:val="00171774"/>
    <w:rsid w:val="001724B8"/>
    <w:rsid w:val="001728CC"/>
    <w:rsid w:val="00173691"/>
    <w:rsid w:val="00174DA4"/>
    <w:rsid w:val="00175108"/>
    <w:rsid w:val="0017532D"/>
    <w:rsid w:val="00175CF2"/>
    <w:rsid w:val="00176F57"/>
    <w:rsid w:val="0018032F"/>
    <w:rsid w:val="00192936"/>
    <w:rsid w:val="00195368"/>
    <w:rsid w:val="001957AF"/>
    <w:rsid w:val="00195F43"/>
    <w:rsid w:val="001A0009"/>
    <w:rsid w:val="001A0B51"/>
    <w:rsid w:val="001A0D43"/>
    <w:rsid w:val="001A4BE3"/>
    <w:rsid w:val="001A56F5"/>
    <w:rsid w:val="001A7A88"/>
    <w:rsid w:val="001A7B8D"/>
    <w:rsid w:val="001B4AF9"/>
    <w:rsid w:val="001C0A47"/>
    <w:rsid w:val="001C0BD5"/>
    <w:rsid w:val="001C15B2"/>
    <w:rsid w:val="001C2524"/>
    <w:rsid w:val="001C2864"/>
    <w:rsid w:val="001C30CA"/>
    <w:rsid w:val="001C4430"/>
    <w:rsid w:val="001C4B04"/>
    <w:rsid w:val="001C4F7D"/>
    <w:rsid w:val="001C518B"/>
    <w:rsid w:val="001C6514"/>
    <w:rsid w:val="001D1180"/>
    <w:rsid w:val="001D2392"/>
    <w:rsid w:val="001D2683"/>
    <w:rsid w:val="001D57F0"/>
    <w:rsid w:val="001D7337"/>
    <w:rsid w:val="001E1831"/>
    <w:rsid w:val="001E299F"/>
    <w:rsid w:val="001E2DF8"/>
    <w:rsid w:val="001E2FC4"/>
    <w:rsid w:val="001E59A2"/>
    <w:rsid w:val="001F1918"/>
    <w:rsid w:val="001F1CD2"/>
    <w:rsid w:val="001F23C8"/>
    <w:rsid w:val="001F331A"/>
    <w:rsid w:val="001F33E6"/>
    <w:rsid w:val="001F7947"/>
    <w:rsid w:val="002048BE"/>
    <w:rsid w:val="00205000"/>
    <w:rsid w:val="00205AA2"/>
    <w:rsid w:val="00206A12"/>
    <w:rsid w:val="00206BB3"/>
    <w:rsid w:val="0020794C"/>
    <w:rsid w:val="00210769"/>
    <w:rsid w:val="00210C4A"/>
    <w:rsid w:val="002121FC"/>
    <w:rsid w:val="002122AD"/>
    <w:rsid w:val="00212AF5"/>
    <w:rsid w:val="00213902"/>
    <w:rsid w:val="00216085"/>
    <w:rsid w:val="00217226"/>
    <w:rsid w:val="00217838"/>
    <w:rsid w:val="00220C44"/>
    <w:rsid w:val="00222718"/>
    <w:rsid w:val="00223FA1"/>
    <w:rsid w:val="00227618"/>
    <w:rsid w:val="00227951"/>
    <w:rsid w:val="00234080"/>
    <w:rsid w:val="00235E8D"/>
    <w:rsid w:val="00236283"/>
    <w:rsid w:val="00236DE2"/>
    <w:rsid w:val="002371BC"/>
    <w:rsid w:val="0023788D"/>
    <w:rsid w:val="002410A9"/>
    <w:rsid w:val="002445C2"/>
    <w:rsid w:val="00244789"/>
    <w:rsid w:val="0024502D"/>
    <w:rsid w:val="00245E55"/>
    <w:rsid w:val="00251647"/>
    <w:rsid w:val="00251B0B"/>
    <w:rsid w:val="00253B6D"/>
    <w:rsid w:val="0025472D"/>
    <w:rsid w:val="00257719"/>
    <w:rsid w:val="00261CCA"/>
    <w:rsid w:val="00261DB1"/>
    <w:rsid w:val="00264B5A"/>
    <w:rsid w:val="00271CAD"/>
    <w:rsid w:val="00271FFF"/>
    <w:rsid w:val="002744B6"/>
    <w:rsid w:val="002752E2"/>
    <w:rsid w:val="00275D20"/>
    <w:rsid w:val="00276264"/>
    <w:rsid w:val="0027724A"/>
    <w:rsid w:val="00277C23"/>
    <w:rsid w:val="00280FC0"/>
    <w:rsid w:val="00281AA0"/>
    <w:rsid w:val="00282010"/>
    <w:rsid w:val="0028203C"/>
    <w:rsid w:val="0028699A"/>
    <w:rsid w:val="00287955"/>
    <w:rsid w:val="00293B38"/>
    <w:rsid w:val="00293D6C"/>
    <w:rsid w:val="00294085"/>
    <w:rsid w:val="00294414"/>
    <w:rsid w:val="00294A62"/>
    <w:rsid w:val="00296432"/>
    <w:rsid w:val="002A05A5"/>
    <w:rsid w:val="002A068B"/>
    <w:rsid w:val="002A0F00"/>
    <w:rsid w:val="002A0F3B"/>
    <w:rsid w:val="002A63FE"/>
    <w:rsid w:val="002A67C9"/>
    <w:rsid w:val="002A6930"/>
    <w:rsid w:val="002A70C1"/>
    <w:rsid w:val="002B2352"/>
    <w:rsid w:val="002B4824"/>
    <w:rsid w:val="002B5D54"/>
    <w:rsid w:val="002B5E40"/>
    <w:rsid w:val="002C0BB7"/>
    <w:rsid w:val="002C0E21"/>
    <w:rsid w:val="002C189A"/>
    <w:rsid w:val="002C2BC1"/>
    <w:rsid w:val="002C70E8"/>
    <w:rsid w:val="002C7102"/>
    <w:rsid w:val="002C7F93"/>
    <w:rsid w:val="002D014B"/>
    <w:rsid w:val="002D2206"/>
    <w:rsid w:val="002D3598"/>
    <w:rsid w:val="002D5EAF"/>
    <w:rsid w:val="002E3D41"/>
    <w:rsid w:val="002E4745"/>
    <w:rsid w:val="002E4A12"/>
    <w:rsid w:val="002E52A4"/>
    <w:rsid w:val="002E6FD9"/>
    <w:rsid w:val="002E7204"/>
    <w:rsid w:val="002F045B"/>
    <w:rsid w:val="002F20A8"/>
    <w:rsid w:val="002F321C"/>
    <w:rsid w:val="002F3CF6"/>
    <w:rsid w:val="002F4EA9"/>
    <w:rsid w:val="002F7CAD"/>
    <w:rsid w:val="00301AD5"/>
    <w:rsid w:val="00302574"/>
    <w:rsid w:val="003028B8"/>
    <w:rsid w:val="00302D24"/>
    <w:rsid w:val="00304997"/>
    <w:rsid w:val="00305350"/>
    <w:rsid w:val="00306A7D"/>
    <w:rsid w:val="00307046"/>
    <w:rsid w:val="00310CA4"/>
    <w:rsid w:val="003115E2"/>
    <w:rsid w:val="00311B07"/>
    <w:rsid w:val="00313170"/>
    <w:rsid w:val="003140D5"/>
    <w:rsid w:val="00314294"/>
    <w:rsid w:val="00315F62"/>
    <w:rsid w:val="003172A5"/>
    <w:rsid w:val="00317CAA"/>
    <w:rsid w:val="00320764"/>
    <w:rsid w:val="003224F8"/>
    <w:rsid w:val="00323CD7"/>
    <w:rsid w:val="00324D8E"/>
    <w:rsid w:val="00326720"/>
    <w:rsid w:val="00326D48"/>
    <w:rsid w:val="00326DAA"/>
    <w:rsid w:val="00326F7E"/>
    <w:rsid w:val="00331E6D"/>
    <w:rsid w:val="00332753"/>
    <w:rsid w:val="00333443"/>
    <w:rsid w:val="003359F9"/>
    <w:rsid w:val="003369F2"/>
    <w:rsid w:val="00340AA3"/>
    <w:rsid w:val="00341451"/>
    <w:rsid w:val="003418CE"/>
    <w:rsid w:val="00342072"/>
    <w:rsid w:val="00345747"/>
    <w:rsid w:val="0034693C"/>
    <w:rsid w:val="00346AAA"/>
    <w:rsid w:val="00346ED1"/>
    <w:rsid w:val="00347AD3"/>
    <w:rsid w:val="00347FD6"/>
    <w:rsid w:val="003543AB"/>
    <w:rsid w:val="00365BFA"/>
    <w:rsid w:val="00365F3C"/>
    <w:rsid w:val="00367539"/>
    <w:rsid w:val="00367E78"/>
    <w:rsid w:val="00370F57"/>
    <w:rsid w:val="00371037"/>
    <w:rsid w:val="00371F48"/>
    <w:rsid w:val="00373628"/>
    <w:rsid w:val="00373B7C"/>
    <w:rsid w:val="00377108"/>
    <w:rsid w:val="00382B4E"/>
    <w:rsid w:val="003854BB"/>
    <w:rsid w:val="00386B2F"/>
    <w:rsid w:val="00387B7F"/>
    <w:rsid w:val="003979A8"/>
    <w:rsid w:val="003A01E1"/>
    <w:rsid w:val="003A10E7"/>
    <w:rsid w:val="003A145F"/>
    <w:rsid w:val="003A188E"/>
    <w:rsid w:val="003A3BB8"/>
    <w:rsid w:val="003A4460"/>
    <w:rsid w:val="003A4A13"/>
    <w:rsid w:val="003A51AB"/>
    <w:rsid w:val="003A6259"/>
    <w:rsid w:val="003B237A"/>
    <w:rsid w:val="003B249F"/>
    <w:rsid w:val="003B4226"/>
    <w:rsid w:val="003B4427"/>
    <w:rsid w:val="003B49DE"/>
    <w:rsid w:val="003B5131"/>
    <w:rsid w:val="003B67DE"/>
    <w:rsid w:val="003B7C3F"/>
    <w:rsid w:val="003C020F"/>
    <w:rsid w:val="003C1375"/>
    <w:rsid w:val="003C1564"/>
    <w:rsid w:val="003C1ACB"/>
    <w:rsid w:val="003C2F35"/>
    <w:rsid w:val="003C309B"/>
    <w:rsid w:val="003C5084"/>
    <w:rsid w:val="003C5B93"/>
    <w:rsid w:val="003C7B3C"/>
    <w:rsid w:val="003D0DA6"/>
    <w:rsid w:val="003D3044"/>
    <w:rsid w:val="003D31D1"/>
    <w:rsid w:val="003D31DF"/>
    <w:rsid w:val="003D4866"/>
    <w:rsid w:val="003E13DC"/>
    <w:rsid w:val="003E1D89"/>
    <w:rsid w:val="003E3C53"/>
    <w:rsid w:val="003E3DC3"/>
    <w:rsid w:val="003E5758"/>
    <w:rsid w:val="003E59D3"/>
    <w:rsid w:val="003E66B8"/>
    <w:rsid w:val="003F12DA"/>
    <w:rsid w:val="003F3A76"/>
    <w:rsid w:val="003F4D14"/>
    <w:rsid w:val="003F5DD4"/>
    <w:rsid w:val="003F6809"/>
    <w:rsid w:val="004004E6"/>
    <w:rsid w:val="00400B0F"/>
    <w:rsid w:val="00402A83"/>
    <w:rsid w:val="00405910"/>
    <w:rsid w:val="00406253"/>
    <w:rsid w:val="00412674"/>
    <w:rsid w:val="00413A94"/>
    <w:rsid w:val="00414262"/>
    <w:rsid w:val="004168B1"/>
    <w:rsid w:val="00421A16"/>
    <w:rsid w:val="0042287B"/>
    <w:rsid w:val="00422F84"/>
    <w:rsid w:val="00423246"/>
    <w:rsid w:val="004233E0"/>
    <w:rsid w:val="00427B84"/>
    <w:rsid w:val="0043035A"/>
    <w:rsid w:val="00434E72"/>
    <w:rsid w:val="00435FC1"/>
    <w:rsid w:val="00437E74"/>
    <w:rsid w:val="00441990"/>
    <w:rsid w:val="00442BC1"/>
    <w:rsid w:val="00443B98"/>
    <w:rsid w:val="00444362"/>
    <w:rsid w:val="00456CFD"/>
    <w:rsid w:val="004571EE"/>
    <w:rsid w:val="00461D95"/>
    <w:rsid w:val="00462EF5"/>
    <w:rsid w:val="0046320F"/>
    <w:rsid w:val="00463919"/>
    <w:rsid w:val="00463F1B"/>
    <w:rsid w:val="0046419E"/>
    <w:rsid w:val="004647DE"/>
    <w:rsid w:val="00464F41"/>
    <w:rsid w:val="0047021E"/>
    <w:rsid w:val="00472EC7"/>
    <w:rsid w:val="0047760A"/>
    <w:rsid w:val="00477D17"/>
    <w:rsid w:val="00480E02"/>
    <w:rsid w:val="004813E8"/>
    <w:rsid w:val="00482975"/>
    <w:rsid w:val="00483A86"/>
    <w:rsid w:val="00483D57"/>
    <w:rsid w:val="00485D86"/>
    <w:rsid w:val="00486028"/>
    <w:rsid w:val="0048688E"/>
    <w:rsid w:val="0048791B"/>
    <w:rsid w:val="00487F88"/>
    <w:rsid w:val="00492F01"/>
    <w:rsid w:val="00495BBD"/>
    <w:rsid w:val="00496517"/>
    <w:rsid w:val="004A1CDF"/>
    <w:rsid w:val="004A1D7F"/>
    <w:rsid w:val="004A27D0"/>
    <w:rsid w:val="004A31B5"/>
    <w:rsid w:val="004A33E7"/>
    <w:rsid w:val="004A5D1A"/>
    <w:rsid w:val="004A704B"/>
    <w:rsid w:val="004B1A16"/>
    <w:rsid w:val="004B1FD0"/>
    <w:rsid w:val="004B2680"/>
    <w:rsid w:val="004B3761"/>
    <w:rsid w:val="004B6AFF"/>
    <w:rsid w:val="004B71AC"/>
    <w:rsid w:val="004C0E12"/>
    <w:rsid w:val="004C1F8A"/>
    <w:rsid w:val="004C20FE"/>
    <w:rsid w:val="004C4A19"/>
    <w:rsid w:val="004C537D"/>
    <w:rsid w:val="004D104E"/>
    <w:rsid w:val="004D1E4A"/>
    <w:rsid w:val="004D3732"/>
    <w:rsid w:val="004D6307"/>
    <w:rsid w:val="004E0105"/>
    <w:rsid w:val="004E3EEA"/>
    <w:rsid w:val="004E4F0D"/>
    <w:rsid w:val="004F025A"/>
    <w:rsid w:val="004F1654"/>
    <w:rsid w:val="004F2544"/>
    <w:rsid w:val="004F2C9C"/>
    <w:rsid w:val="004F6C6A"/>
    <w:rsid w:val="004F7D76"/>
    <w:rsid w:val="004F7E71"/>
    <w:rsid w:val="005019EF"/>
    <w:rsid w:val="0050452D"/>
    <w:rsid w:val="005047C1"/>
    <w:rsid w:val="00506832"/>
    <w:rsid w:val="00511429"/>
    <w:rsid w:val="00511F52"/>
    <w:rsid w:val="0051501B"/>
    <w:rsid w:val="005153E5"/>
    <w:rsid w:val="005155CD"/>
    <w:rsid w:val="005172B9"/>
    <w:rsid w:val="0051783D"/>
    <w:rsid w:val="00520CE5"/>
    <w:rsid w:val="005221A1"/>
    <w:rsid w:val="00523FBC"/>
    <w:rsid w:val="00525803"/>
    <w:rsid w:val="00525A23"/>
    <w:rsid w:val="00527637"/>
    <w:rsid w:val="00532721"/>
    <w:rsid w:val="0053569D"/>
    <w:rsid w:val="00540537"/>
    <w:rsid w:val="005469F0"/>
    <w:rsid w:val="00551534"/>
    <w:rsid w:val="0055179C"/>
    <w:rsid w:val="00551AA9"/>
    <w:rsid w:val="00551FC2"/>
    <w:rsid w:val="005540FA"/>
    <w:rsid w:val="00554BEE"/>
    <w:rsid w:val="00557EF8"/>
    <w:rsid w:val="005616A3"/>
    <w:rsid w:val="00561F29"/>
    <w:rsid w:val="00562BC0"/>
    <w:rsid w:val="00564B48"/>
    <w:rsid w:val="00564DFF"/>
    <w:rsid w:val="005663EE"/>
    <w:rsid w:val="00566F6F"/>
    <w:rsid w:val="00567F6B"/>
    <w:rsid w:val="005717C5"/>
    <w:rsid w:val="005745C1"/>
    <w:rsid w:val="005753E5"/>
    <w:rsid w:val="005759CA"/>
    <w:rsid w:val="0057664E"/>
    <w:rsid w:val="00581D2D"/>
    <w:rsid w:val="00582B6D"/>
    <w:rsid w:val="00582C4F"/>
    <w:rsid w:val="00583C8F"/>
    <w:rsid w:val="00583E72"/>
    <w:rsid w:val="00585710"/>
    <w:rsid w:val="00586587"/>
    <w:rsid w:val="005874B7"/>
    <w:rsid w:val="005921B8"/>
    <w:rsid w:val="00594C29"/>
    <w:rsid w:val="0059710F"/>
    <w:rsid w:val="005A1084"/>
    <w:rsid w:val="005A35FC"/>
    <w:rsid w:val="005A49FB"/>
    <w:rsid w:val="005A6DA9"/>
    <w:rsid w:val="005A6F3A"/>
    <w:rsid w:val="005A7EF4"/>
    <w:rsid w:val="005B09F9"/>
    <w:rsid w:val="005B2026"/>
    <w:rsid w:val="005B7BA5"/>
    <w:rsid w:val="005C0200"/>
    <w:rsid w:val="005C1237"/>
    <w:rsid w:val="005C1384"/>
    <w:rsid w:val="005C2709"/>
    <w:rsid w:val="005C3B50"/>
    <w:rsid w:val="005D1E68"/>
    <w:rsid w:val="005D2FEE"/>
    <w:rsid w:val="005D4856"/>
    <w:rsid w:val="005D4A24"/>
    <w:rsid w:val="005D50DA"/>
    <w:rsid w:val="005D5F11"/>
    <w:rsid w:val="005D6A28"/>
    <w:rsid w:val="005E45D3"/>
    <w:rsid w:val="005E51D9"/>
    <w:rsid w:val="005E7748"/>
    <w:rsid w:val="005E791A"/>
    <w:rsid w:val="005F14E9"/>
    <w:rsid w:val="005F2C58"/>
    <w:rsid w:val="005F6E17"/>
    <w:rsid w:val="0060075F"/>
    <w:rsid w:val="00601E22"/>
    <w:rsid w:val="00601F25"/>
    <w:rsid w:val="00603729"/>
    <w:rsid w:val="00603AC6"/>
    <w:rsid w:val="006040C7"/>
    <w:rsid w:val="00605C48"/>
    <w:rsid w:val="006078E8"/>
    <w:rsid w:val="00612E83"/>
    <w:rsid w:val="00614BD1"/>
    <w:rsid w:val="00615743"/>
    <w:rsid w:val="006204EE"/>
    <w:rsid w:val="00622105"/>
    <w:rsid w:val="0062374A"/>
    <w:rsid w:val="00623AD0"/>
    <w:rsid w:val="00624575"/>
    <w:rsid w:val="006247C9"/>
    <w:rsid w:val="00625411"/>
    <w:rsid w:val="0063049D"/>
    <w:rsid w:val="00630BA3"/>
    <w:rsid w:val="00633DF7"/>
    <w:rsid w:val="006359B6"/>
    <w:rsid w:val="00635AFC"/>
    <w:rsid w:val="00640D39"/>
    <w:rsid w:val="00640EF5"/>
    <w:rsid w:val="006415AD"/>
    <w:rsid w:val="006425F1"/>
    <w:rsid w:val="00642E9F"/>
    <w:rsid w:val="00646558"/>
    <w:rsid w:val="00646B20"/>
    <w:rsid w:val="00647227"/>
    <w:rsid w:val="00647906"/>
    <w:rsid w:val="006503B6"/>
    <w:rsid w:val="00650A5B"/>
    <w:rsid w:val="00650E9C"/>
    <w:rsid w:val="00651D25"/>
    <w:rsid w:val="00652F01"/>
    <w:rsid w:val="00653254"/>
    <w:rsid w:val="00654C24"/>
    <w:rsid w:val="0065675D"/>
    <w:rsid w:val="006574FB"/>
    <w:rsid w:val="006578E1"/>
    <w:rsid w:val="0066196A"/>
    <w:rsid w:val="0066208E"/>
    <w:rsid w:val="00662FDC"/>
    <w:rsid w:val="0066397F"/>
    <w:rsid w:val="00663D6C"/>
    <w:rsid w:val="00664074"/>
    <w:rsid w:val="0066626C"/>
    <w:rsid w:val="00667E75"/>
    <w:rsid w:val="00672A19"/>
    <w:rsid w:val="006748E0"/>
    <w:rsid w:val="00675119"/>
    <w:rsid w:val="00675E06"/>
    <w:rsid w:val="0068005E"/>
    <w:rsid w:val="0068023D"/>
    <w:rsid w:val="0068165A"/>
    <w:rsid w:val="00684734"/>
    <w:rsid w:val="00684B45"/>
    <w:rsid w:val="00687B10"/>
    <w:rsid w:val="00692DCF"/>
    <w:rsid w:val="006936A4"/>
    <w:rsid w:val="00694855"/>
    <w:rsid w:val="00695AF0"/>
    <w:rsid w:val="00696DED"/>
    <w:rsid w:val="00697042"/>
    <w:rsid w:val="006976D4"/>
    <w:rsid w:val="006A0B36"/>
    <w:rsid w:val="006A1979"/>
    <w:rsid w:val="006A2B36"/>
    <w:rsid w:val="006A2E4B"/>
    <w:rsid w:val="006A2E70"/>
    <w:rsid w:val="006A373A"/>
    <w:rsid w:val="006A3777"/>
    <w:rsid w:val="006A391C"/>
    <w:rsid w:val="006A449B"/>
    <w:rsid w:val="006A69CD"/>
    <w:rsid w:val="006B0FB6"/>
    <w:rsid w:val="006B3982"/>
    <w:rsid w:val="006B6135"/>
    <w:rsid w:val="006C2D07"/>
    <w:rsid w:val="006C66D0"/>
    <w:rsid w:val="006D007B"/>
    <w:rsid w:val="006D23C0"/>
    <w:rsid w:val="006D681F"/>
    <w:rsid w:val="006D7222"/>
    <w:rsid w:val="006D7832"/>
    <w:rsid w:val="006D7E2E"/>
    <w:rsid w:val="006E2A63"/>
    <w:rsid w:val="006E2B80"/>
    <w:rsid w:val="006E339A"/>
    <w:rsid w:val="006E4F4C"/>
    <w:rsid w:val="006E4FDF"/>
    <w:rsid w:val="006E5A63"/>
    <w:rsid w:val="006E5BC8"/>
    <w:rsid w:val="006E6E4A"/>
    <w:rsid w:val="006F04A8"/>
    <w:rsid w:val="006F0B0C"/>
    <w:rsid w:val="006F1522"/>
    <w:rsid w:val="006F2229"/>
    <w:rsid w:val="006F39A5"/>
    <w:rsid w:val="00701800"/>
    <w:rsid w:val="00704CF2"/>
    <w:rsid w:val="00704F0F"/>
    <w:rsid w:val="0070528D"/>
    <w:rsid w:val="0070676A"/>
    <w:rsid w:val="00706BBA"/>
    <w:rsid w:val="007074C6"/>
    <w:rsid w:val="00707959"/>
    <w:rsid w:val="00710E6C"/>
    <w:rsid w:val="00711267"/>
    <w:rsid w:val="007122BC"/>
    <w:rsid w:val="00714101"/>
    <w:rsid w:val="007146E8"/>
    <w:rsid w:val="00715CE1"/>
    <w:rsid w:val="00716249"/>
    <w:rsid w:val="007165A6"/>
    <w:rsid w:val="00716B87"/>
    <w:rsid w:val="00721C54"/>
    <w:rsid w:val="00722E1F"/>
    <w:rsid w:val="00723543"/>
    <w:rsid w:val="00724803"/>
    <w:rsid w:val="00725563"/>
    <w:rsid w:val="00727E8F"/>
    <w:rsid w:val="00731113"/>
    <w:rsid w:val="00733103"/>
    <w:rsid w:val="007376DD"/>
    <w:rsid w:val="007377BB"/>
    <w:rsid w:val="0074274A"/>
    <w:rsid w:val="00742944"/>
    <w:rsid w:val="00742965"/>
    <w:rsid w:val="00743202"/>
    <w:rsid w:val="00744993"/>
    <w:rsid w:val="007506D6"/>
    <w:rsid w:val="00751A69"/>
    <w:rsid w:val="00751B6F"/>
    <w:rsid w:val="00751C7F"/>
    <w:rsid w:val="007538CA"/>
    <w:rsid w:val="00753C5A"/>
    <w:rsid w:val="00755ED6"/>
    <w:rsid w:val="0076065A"/>
    <w:rsid w:val="00761892"/>
    <w:rsid w:val="00761C88"/>
    <w:rsid w:val="00765BB1"/>
    <w:rsid w:val="00775992"/>
    <w:rsid w:val="00776F12"/>
    <w:rsid w:val="00777F4B"/>
    <w:rsid w:val="007826D7"/>
    <w:rsid w:val="00782A10"/>
    <w:rsid w:val="00783D75"/>
    <w:rsid w:val="007848C7"/>
    <w:rsid w:val="00786EB7"/>
    <w:rsid w:val="007879C2"/>
    <w:rsid w:val="00787D7E"/>
    <w:rsid w:val="00793C77"/>
    <w:rsid w:val="007948F0"/>
    <w:rsid w:val="00794D68"/>
    <w:rsid w:val="0079515D"/>
    <w:rsid w:val="00795216"/>
    <w:rsid w:val="00797310"/>
    <w:rsid w:val="007A2F57"/>
    <w:rsid w:val="007A6882"/>
    <w:rsid w:val="007B05CB"/>
    <w:rsid w:val="007B05DE"/>
    <w:rsid w:val="007B390C"/>
    <w:rsid w:val="007B581E"/>
    <w:rsid w:val="007B5ECA"/>
    <w:rsid w:val="007B7359"/>
    <w:rsid w:val="007C33DF"/>
    <w:rsid w:val="007C35A9"/>
    <w:rsid w:val="007C4A23"/>
    <w:rsid w:val="007C4E84"/>
    <w:rsid w:val="007C5CA2"/>
    <w:rsid w:val="007C7553"/>
    <w:rsid w:val="007D1E79"/>
    <w:rsid w:val="007D2753"/>
    <w:rsid w:val="007D2AC7"/>
    <w:rsid w:val="007D3787"/>
    <w:rsid w:val="007D417B"/>
    <w:rsid w:val="007E1F4D"/>
    <w:rsid w:val="007E6CF0"/>
    <w:rsid w:val="007E762F"/>
    <w:rsid w:val="007F0A7D"/>
    <w:rsid w:val="007F123F"/>
    <w:rsid w:val="007F13A8"/>
    <w:rsid w:val="007F2472"/>
    <w:rsid w:val="007F2B4C"/>
    <w:rsid w:val="007F46F4"/>
    <w:rsid w:val="007F6885"/>
    <w:rsid w:val="007F77B9"/>
    <w:rsid w:val="008003E1"/>
    <w:rsid w:val="00803194"/>
    <w:rsid w:val="00803D59"/>
    <w:rsid w:val="0080455F"/>
    <w:rsid w:val="00804DF5"/>
    <w:rsid w:val="0080530F"/>
    <w:rsid w:val="00812704"/>
    <w:rsid w:val="00812E94"/>
    <w:rsid w:val="00812F8F"/>
    <w:rsid w:val="008142E3"/>
    <w:rsid w:val="008167AE"/>
    <w:rsid w:val="008203B7"/>
    <w:rsid w:val="00820468"/>
    <w:rsid w:val="0082101B"/>
    <w:rsid w:val="00822133"/>
    <w:rsid w:val="008237DB"/>
    <w:rsid w:val="0082648A"/>
    <w:rsid w:val="0083163B"/>
    <w:rsid w:val="00835331"/>
    <w:rsid w:val="00837104"/>
    <w:rsid w:val="00842F7A"/>
    <w:rsid w:val="00843C07"/>
    <w:rsid w:val="0084537A"/>
    <w:rsid w:val="00845AB8"/>
    <w:rsid w:val="008473AE"/>
    <w:rsid w:val="008509BF"/>
    <w:rsid w:val="00851DE2"/>
    <w:rsid w:val="00853294"/>
    <w:rsid w:val="008553B5"/>
    <w:rsid w:val="00855508"/>
    <w:rsid w:val="00855CBD"/>
    <w:rsid w:val="00856890"/>
    <w:rsid w:val="00861B1B"/>
    <w:rsid w:val="00865617"/>
    <w:rsid w:val="00866733"/>
    <w:rsid w:val="008704F3"/>
    <w:rsid w:val="0087097C"/>
    <w:rsid w:val="00871730"/>
    <w:rsid w:val="00872F8C"/>
    <w:rsid w:val="00873B93"/>
    <w:rsid w:val="0087489B"/>
    <w:rsid w:val="00875516"/>
    <w:rsid w:val="0087559F"/>
    <w:rsid w:val="00881A6D"/>
    <w:rsid w:val="00883454"/>
    <w:rsid w:val="008845DF"/>
    <w:rsid w:val="00886415"/>
    <w:rsid w:val="008901EC"/>
    <w:rsid w:val="00892D20"/>
    <w:rsid w:val="00894999"/>
    <w:rsid w:val="00896B4C"/>
    <w:rsid w:val="008A0842"/>
    <w:rsid w:val="008A1437"/>
    <w:rsid w:val="008A1694"/>
    <w:rsid w:val="008A1896"/>
    <w:rsid w:val="008A1EA3"/>
    <w:rsid w:val="008A224D"/>
    <w:rsid w:val="008A24E2"/>
    <w:rsid w:val="008A315E"/>
    <w:rsid w:val="008A535E"/>
    <w:rsid w:val="008A596B"/>
    <w:rsid w:val="008B21D9"/>
    <w:rsid w:val="008B50FC"/>
    <w:rsid w:val="008B67B1"/>
    <w:rsid w:val="008B6D75"/>
    <w:rsid w:val="008B71A8"/>
    <w:rsid w:val="008C0832"/>
    <w:rsid w:val="008C1241"/>
    <w:rsid w:val="008C1A05"/>
    <w:rsid w:val="008C294D"/>
    <w:rsid w:val="008C2DBB"/>
    <w:rsid w:val="008C46A8"/>
    <w:rsid w:val="008C546C"/>
    <w:rsid w:val="008C54E6"/>
    <w:rsid w:val="008D0E7B"/>
    <w:rsid w:val="008D2F19"/>
    <w:rsid w:val="008D50C3"/>
    <w:rsid w:val="008E213E"/>
    <w:rsid w:val="008E3B3B"/>
    <w:rsid w:val="008E4E08"/>
    <w:rsid w:val="008E53C7"/>
    <w:rsid w:val="008E5727"/>
    <w:rsid w:val="008F1215"/>
    <w:rsid w:val="008F2CE8"/>
    <w:rsid w:val="008F33D6"/>
    <w:rsid w:val="008F35DE"/>
    <w:rsid w:val="008F3640"/>
    <w:rsid w:val="008F43D7"/>
    <w:rsid w:val="008F45AF"/>
    <w:rsid w:val="008F4631"/>
    <w:rsid w:val="009017B4"/>
    <w:rsid w:val="00902DD7"/>
    <w:rsid w:val="009115C6"/>
    <w:rsid w:val="009118D4"/>
    <w:rsid w:val="00912922"/>
    <w:rsid w:val="009147D9"/>
    <w:rsid w:val="009162C1"/>
    <w:rsid w:val="00921A67"/>
    <w:rsid w:val="00921FF6"/>
    <w:rsid w:val="009229B5"/>
    <w:rsid w:val="00924A1F"/>
    <w:rsid w:val="00924CB5"/>
    <w:rsid w:val="009253C8"/>
    <w:rsid w:val="009316D8"/>
    <w:rsid w:val="0093243D"/>
    <w:rsid w:val="00934181"/>
    <w:rsid w:val="00937370"/>
    <w:rsid w:val="00940D38"/>
    <w:rsid w:val="00942256"/>
    <w:rsid w:val="009425A8"/>
    <w:rsid w:val="0095116B"/>
    <w:rsid w:val="0095191D"/>
    <w:rsid w:val="00953BCB"/>
    <w:rsid w:val="00954029"/>
    <w:rsid w:val="00954142"/>
    <w:rsid w:val="009554C2"/>
    <w:rsid w:val="00955954"/>
    <w:rsid w:val="00956045"/>
    <w:rsid w:val="00956A7A"/>
    <w:rsid w:val="009575DB"/>
    <w:rsid w:val="00961233"/>
    <w:rsid w:val="00962FEF"/>
    <w:rsid w:val="00964CDF"/>
    <w:rsid w:val="009656B0"/>
    <w:rsid w:val="00965FEF"/>
    <w:rsid w:val="00972094"/>
    <w:rsid w:val="0097313B"/>
    <w:rsid w:val="00973257"/>
    <w:rsid w:val="0097431D"/>
    <w:rsid w:val="00974AE6"/>
    <w:rsid w:val="00976013"/>
    <w:rsid w:val="009766C5"/>
    <w:rsid w:val="00976ACA"/>
    <w:rsid w:val="00976E47"/>
    <w:rsid w:val="009808F8"/>
    <w:rsid w:val="00983CA5"/>
    <w:rsid w:val="00983E2C"/>
    <w:rsid w:val="0098402A"/>
    <w:rsid w:val="009841A2"/>
    <w:rsid w:val="00984E7B"/>
    <w:rsid w:val="00985D15"/>
    <w:rsid w:val="0098785F"/>
    <w:rsid w:val="00992F94"/>
    <w:rsid w:val="00993E11"/>
    <w:rsid w:val="00993E32"/>
    <w:rsid w:val="009942D7"/>
    <w:rsid w:val="009943EA"/>
    <w:rsid w:val="00995445"/>
    <w:rsid w:val="00996AA3"/>
    <w:rsid w:val="009A0EC8"/>
    <w:rsid w:val="009A3BB5"/>
    <w:rsid w:val="009A4CD2"/>
    <w:rsid w:val="009B0F01"/>
    <w:rsid w:val="009B25EE"/>
    <w:rsid w:val="009B2A2C"/>
    <w:rsid w:val="009B37CB"/>
    <w:rsid w:val="009B3F81"/>
    <w:rsid w:val="009B5FB2"/>
    <w:rsid w:val="009B7F4C"/>
    <w:rsid w:val="009C03C8"/>
    <w:rsid w:val="009C068C"/>
    <w:rsid w:val="009C27A0"/>
    <w:rsid w:val="009C5E87"/>
    <w:rsid w:val="009C6FD1"/>
    <w:rsid w:val="009C7662"/>
    <w:rsid w:val="009C7A4F"/>
    <w:rsid w:val="009D035A"/>
    <w:rsid w:val="009D313F"/>
    <w:rsid w:val="009D56FA"/>
    <w:rsid w:val="009D7496"/>
    <w:rsid w:val="009E1229"/>
    <w:rsid w:val="009E3DB3"/>
    <w:rsid w:val="009E4191"/>
    <w:rsid w:val="009E55EA"/>
    <w:rsid w:val="009F2F0B"/>
    <w:rsid w:val="009F3090"/>
    <w:rsid w:val="009F3E60"/>
    <w:rsid w:val="009F429E"/>
    <w:rsid w:val="009F4AC6"/>
    <w:rsid w:val="009F4BE2"/>
    <w:rsid w:val="009F57BD"/>
    <w:rsid w:val="00A00B5A"/>
    <w:rsid w:val="00A01868"/>
    <w:rsid w:val="00A01A7D"/>
    <w:rsid w:val="00A06588"/>
    <w:rsid w:val="00A06DA6"/>
    <w:rsid w:val="00A06FAB"/>
    <w:rsid w:val="00A07829"/>
    <w:rsid w:val="00A10024"/>
    <w:rsid w:val="00A10A62"/>
    <w:rsid w:val="00A11CAA"/>
    <w:rsid w:val="00A1229F"/>
    <w:rsid w:val="00A1296C"/>
    <w:rsid w:val="00A203A6"/>
    <w:rsid w:val="00A21119"/>
    <w:rsid w:val="00A21AB4"/>
    <w:rsid w:val="00A21E8C"/>
    <w:rsid w:val="00A221A2"/>
    <w:rsid w:val="00A22595"/>
    <w:rsid w:val="00A26F71"/>
    <w:rsid w:val="00A311FF"/>
    <w:rsid w:val="00A31DE3"/>
    <w:rsid w:val="00A31FFE"/>
    <w:rsid w:val="00A33C52"/>
    <w:rsid w:val="00A3731B"/>
    <w:rsid w:val="00A40660"/>
    <w:rsid w:val="00A431EC"/>
    <w:rsid w:val="00A441F3"/>
    <w:rsid w:val="00A5065E"/>
    <w:rsid w:val="00A50D14"/>
    <w:rsid w:val="00A50E19"/>
    <w:rsid w:val="00A52EAA"/>
    <w:rsid w:val="00A54ECE"/>
    <w:rsid w:val="00A5564C"/>
    <w:rsid w:val="00A55E54"/>
    <w:rsid w:val="00A56747"/>
    <w:rsid w:val="00A57065"/>
    <w:rsid w:val="00A60749"/>
    <w:rsid w:val="00A60B42"/>
    <w:rsid w:val="00A623E2"/>
    <w:rsid w:val="00A626CC"/>
    <w:rsid w:val="00A63E0D"/>
    <w:rsid w:val="00A67449"/>
    <w:rsid w:val="00A700B7"/>
    <w:rsid w:val="00A742C4"/>
    <w:rsid w:val="00A76DAE"/>
    <w:rsid w:val="00A76E9C"/>
    <w:rsid w:val="00A775E5"/>
    <w:rsid w:val="00A84777"/>
    <w:rsid w:val="00A84E54"/>
    <w:rsid w:val="00A8540C"/>
    <w:rsid w:val="00A92A99"/>
    <w:rsid w:val="00A93C8E"/>
    <w:rsid w:val="00A963A8"/>
    <w:rsid w:val="00A96B6F"/>
    <w:rsid w:val="00AA19BF"/>
    <w:rsid w:val="00AA6207"/>
    <w:rsid w:val="00AB1B71"/>
    <w:rsid w:val="00AB7E34"/>
    <w:rsid w:val="00AC5A99"/>
    <w:rsid w:val="00AC6502"/>
    <w:rsid w:val="00AC7197"/>
    <w:rsid w:val="00AD054C"/>
    <w:rsid w:val="00AD2042"/>
    <w:rsid w:val="00AD2F71"/>
    <w:rsid w:val="00AD398B"/>
    <w:rsid w:val="00AD4307"/>
    <w:rsid w:val="00AD4565"/>
    <w:rsid w:val="00AD57CA"/>
    <w:rsid w:val="00AD7868"/>
    <w:rsid w:val="00AE0B0D"/>
    <w:rsid w:val="00AE12CD"/>
    <w:rsid w:val="00AE2422"/>
    <w:rsid w:val="00AE271D"/>
    <w:rsid w:val="00AE56C8"/>
    <w:rsid w:val="00AE59BE"/>
    <w:rsid w:val="00AE5F7C"/>
    <w:rsid w:val="00AF0DAC"/>
    <w:rsid w:val="00AF0E8B"/>
    <w:rsid w:val="00AF11CE"/>
    <w:rsid w:val="00AF2C95"/>
    <w:rsid w:val="00AF3AFC"/>
    <w:rsid w:val="00AF57DD"/>
    <w:rsid w:val="00AF60C4"/>
    <w:rsid w:val="00AF7CA0"/>
    <w:rsid w:val="00B00BA0"/>
    <w:rsid w:val="00B0163A"/>
    <w:rsid w:val="00B042F6"/>
    <w:rsid w:val="00B04CE0"/>
    <w:rsid w:val="00B05D04"/>
    <w:rsid w:val="00B072C8"/>
    <w:rsid w:val="00B07E11"/>
    <w:rsid w:val="00B109BC"/>
    <w:rsid w:val="00B145D5"/>
    <w:rsid w:val="00B1490D"/>
    <w:rsid w:val="00B14B97"/>
    <w:rsid w:val="00B15249"/>
    <w:rsid w:val="00B2022D"/>
    <w:rsid w:val="00B216DF"/>
    <w:rsid w:val="00B228C8"/>
    <w:rsid w:val="00B230FF"/>
    <w:rsid w:val="00B24AE1"/>
    <w:rsid w:val="00B274BF"/>
    <w:rsid w:val="00B30AE6"/>
    <w:rsid w:val="00B3203A"/>
    <w:rsid w:val="00B32EF0"/>
    <w:rsid w:val="00B343F2"/>
    <w:rsid w:val="00B3476A"/>
    <w:rsid w:val="00B36108"/>
    <w:rsid w:val="00B40B88"/>
    <w:rsid w:val="00B41226"/>
    <w:rsid w:val="00B4328A"/>
    <w:rsid w:val="00B449B8"/>
    <w:rsid w:val="00B44D73"/>
    <w:rsid w:val="00B453F1"/>
    <w:rsid w:val="00B45503"/>
    <w:rsid w:val="00B4691A"/>
    <w:rsid w:val="00B4756F"/>
    <w:rsid w:val="00B5059E"/>
    <w:rsid w:val="00B542F4"/>
    <w:rsid w:val="00B54BBA"/>
    <w:rsid w:val="00B55137"/>
    <w:rsid w:val="00B556A8"/>
    <w:rsid w:val="00B61673"/>
    <w:rsid w:val="00B62FB9"/>
    <w:rsid w:val="00B631F5"/>
    <w:rsid w:val="00B63AC1"/>
    <w:rsid w:val="00B63D9E"/>
    <w:rsid w:val="00B6413C"/>
    <w:rsid w:val="00B65164"/>
    <w:rsid w:val="00B70181"/>
    <w:rsid w:val="00B71341"/>
    <w:rsid w:val="00B71F98"/>
    <w:rsid w:val="00B72EB2"/>
    <w:rsid w:val="00B73D85"/>
    <w:rsid w:val="00B74D78"/>
    <w:rsid w:val="00B7613C"/>
    <w:rsid w:val="00B76B37"/>
    <w:rsid w:val="00B774B5"/>
    <w:rsid w:val="00B8039D"/>
    <w:rsid w:val="00B82661"/>
    <w:rsid w:val="00B87482"/>
    <w:rsid w:val="00B92F53"/>
    <w:rsid w:val="00B93267"/>
    <w:rsid w:val="00B967EC"/>
    <w:rsid w:val="00B96CDB"/>
    <w:rsid w:val="00B97348"/>
    <w:rsid w:val="00B97422"/>
    <w:rsid w:val="00BA08DB"/>
    <w:rsid w:val="00BA2EEF"/>
    <w:rsid w:val="00BA4485"/>
    <w:rsid w:val="00BA4610"/>
    <w:rsid w:val="00BB11B5"/>
    <w:rsid w:val="00BB5A67"/>
    <w:rsid w:val="00BB6671"/>
    <w:rsid w:val="00BB7696"/>
    <w:rsid w:val="00BC12F4"/>
    <w:rsid w:val="00BC283A"/>
    <w:rsid w:val="00BC323F"/>
    <w:rsid w:val="00BC37C2"/>
    <w:rsid w:val="00BC38DB"/>
    <w:rsid w:val="00BD1968"/>
    <w:rsid w:val="00BD327D"/>
    <w:rsid w:val="00BD5C93"/>
    <w:rsid w:val="00BD6271"/>
    <w:rsid w:val="00BE33E4"/>
    <w:rsid w:val="00BE345D"/>
    <w:rsid w:val="00BE439D"/>
    <w:rsid w:val="00BE5408"/>
    <w:rsid w:val="00BE5513"/>
    <w:rsid w:val="00BE619B"/>
    <w:rsid w:val="00BE7720"/>
    <w:rsid w:val="00BE79FA"/>
    <w:rsid w:val="00BF021E"/>
    <w:rsid w:val="00BF0232"/>
    <w:rsid w:val="00BF3074"/>
    <w:rsid w:val="00BF3623"/>
    <w:rsid w:val="00BF44CD"/>
    <w:rsid w:val="00BF4D11"/>
    <w:rsid w:val="00BF4E37"/>
    <w:rsid w:val="00BF515C"/>
    <w:rsid w:val="00BF5798"/>
    <w:rsid w:val="00C003A1"/>
    <w:rsid w:val="00C009D7"/>
    <w:rsid w:val="00C01A7F"/>
    <w:rsid w:val="00C02AE5"/>
    <w:rsid w:val="00C02B30"/>
    <w:rsid w:val="00C030D4"/>
    <w:rsid w:val="00C03C33"/>
    <w:rsid w:val="00C0403D"/>
    <w:rsid w:val="00C049F5"/>
    <w:rsid w:val="00C04D38"/>
    <w:rsid w:val="00C05386"/>
    <w:rsid w:val="00C11879"/>
    <w:rsid w:val="00C11D5D"/>
    <w:rsid w:val="00C13A88"/>
    <w:rsid w:val="00C15276"/>
    <w:rsid w:val="00C1564F"/>
    <w:rsid w:val="00C1673C"/>
    <w:rsid w:val="00C16B67"/>
    <w:rsid w:val="00C200B4"/>
    <w:rsid w:val="00C20E4F"/>
    <w:rsid w:val="00C22872"/>
    <w:rsid w:val="00C23DE5"/>
    <w:rsid w:val="00C248C9"/>
    <w:rsid w:val="00C26B97"/>
    <w:rsid w:val="00C31E66"/>
    <w:rsid w:val="00C32DB0"/>
    <w:rsid w:val="00C3404E"/>
    <w:rsid w:val="00C34C5E"/>
    <w:rsid w:val="00C367D5"/>
    <w:rsid w:val="00C36CF4"/>
    <w:rsid w:val="00C37061"/>
    <w:rsid w:val="00C41340"/>
    <w:rsid w:val="00C41F01"/>
    <w:rsid w:val="00C42EEF"/>
    <w:rsid w:val="00C43DE6"/>
    <w:rsid w:val="00C4621D"/>
    <w:rsid w:val="00C4647D"/>
    <w:rsid w:val="00C47F69"/>
    <w:rsid w:val="00C500B6"/>
    <w:rsid w:val="00C511FB"/>
    <w:rsid w:val="00C52C1E"/>
    <w:rsid w:val="00C55A2A"/>
    <w:rsid w:val="00C564AB"/>
    <w:rsid w:val="00C56B6C"/>
    <w:rsid w:val="00C61C64"/>
    <w:rsid w:val="00C62236"/>
    <w:rsid w:val="00C62418"/>
    <w:rsid w:val="00C64A08"/>
    <w:rsid w:val="00C65325"/>
    <w:rsid w:val="00C65CBA"/>
    <w:rsid w:val="00C715CB"/>
    <w:rsid w:val="00C71A4F"/>
    <w:rsid w:val="00C71A72"/>
    <w:rsid w:val="00C7236F"/>
    <w:rsid w:val="00C73E22"/>
    <w:rsid w:val="00C74A02"/>
    <w:rsid w:val="00C75D4D"/>
    <w:rsid w:val="00C75D9B"/>
    <w:rsid w:val="00C76222"/>
    <w:rsid w:val="00C8174D"/>
    <w:rsid w:val="00C81C44"/>
    <w:rsid w:val="00C86057"/>
    <w:rsid w:val="00C8677E"/>
    <w:rsid w:val="00C876F1"/>
    <w:rsid w:val="00C92623"/>
    <w:rsid w:val="00C92821"/>
    <w:rsid w:val="00C95197"/>
    <w:rsid w:val="00C95FEA"/>
    <w:rsid w:val="00CA018A"/>
    <w:rsid w:val="00CB2F99"/>
    <w:rsid w:val="00CB38C1"/>
    <w:rsid w:val="00CB668B"/>
    <w:rsid w:val="00CB6E5A"/>
    <w:rsid w:val="00CC0230"/>
    <w:rsid w:val="00CC0680"/>
    <w:rsid w:val="00CC0862"/>
    <w:rsid w:val="00CC1F3B"/>
    <w:rsid w:val="00CC6428"/>
    <w:rsid w:val="00CD35BB"/>
    <w:rsid w:val="00CD3962"/>
    <w:rsid w:val="00CD3AC4"/>
    <w:rsid w:val="00CD4EA7"/>
    <w:rsid w:val="00CD5646"/>
    <w:rsid w:val="00CD56D6"/>
    <w:rsid w:val="00CD63B0"/>
    <w:rsid w:val="00CE0AB0"/>
    <w:rsid w:val="00CE2DD7"/>
    <w:rsid w:val="00CE34F1"/>
    <w:rsid w:val="00CE4A08"/>
    <w:rsid w:val="00CE7CDE"/>
    <w:rsid w:val="00CE7ECC"/>
    <w:rsid w:val="00CF06A7"/>
    <w:rsid w:val="00CF15F5"/>
    <w:rsid w:val="00CF1EFB"/>
    <w:rsid w:val="00CF3C05"/>
    <w:rsid w:val="00CF4E67"/>
    <w:rsid w:val="00CF506F"/>
    <w:rsid w:val="00CF57C2"/>
    <w:rsid w:val="00CF5EB7"/>
    <w:rsid w:val="00CF7339"/>
    <w:rsid w:val="00D0153B"/>
    <w:rsid w:val="00D01AE7"/>
    <w:rsid w:val="00D024C9"/>
    <w:rsid w:val="00D04662"/>
    <w:rsid w:val="00D064D3"/>
    <w:rsid w:val="00D121D6"/>
    <w:rsid w:val="00D121EF"/>
    <w:rsid w:val="00D16DFB"/>
    <w:rsid w:val="00D1703E"/>
    <w:rsid w:val="00D17B44"/>
    <w:rsid w:val="00D20B71"/>
    <w:rsid w:val="00D22233"/>
    <w:rsid w:val="00D22F91"/>
    <w:rsid w:val="00D23A53"/>
    <w:rsid w:val="00D23E0D"/>
    <w:rsid w:val="00D23ED9"/>
    <w:rsid w:val="00D24D72"/>
    <w:rsid w:val="00D25005"/>
    <w:rsid w:val="00D26595"/>
    <w:rsid w:val="00D26AC8"/>
    <w:rsid w:val="00D27B17"/>
    <w:rsid w:val="00D306E3"/>
    <w:rsid w:val="00D30ADA"/>
    <w:rsid w:val="00D324A2"/>
    <w:rsid w:val="00D364BB"/>
    <w:rsid w:val="00D369EC"/>
    <w:rsid w:val="00D36E22"/>
    <w:rsid w:val="00D41778"/>
    <w:rsid w:val="00D418CF"/>
    <w:rsid w:val="00D41F2A"/>
    <w:rsid w:val="00D42D3D"/>
    <w:rsid w:val="00D44057"/>
    <w:rsid w:val="00D46629"/>
    <w:rsid w:val="00D4762F"/>
    <w:rsid w:val="00D5023C"/>
    <w:rsid w:val="00D52E15"/>
    <w:rsid w:val="00D53693"/>
    <w:rsid w:val="00D553A1"/>
    <w:rsid w:val="00D61486"/>
    <w:rsid w:val="00D62703"/>
    <w:rsid w:val="00D64F91"/>
    <w:rsid w:val="00D675D9"/>
    <w:rsid w:val="00D67BA3"/>
    <w:rsid w:val="00D70934"/>
    <w:rsid w:val="00D70D2B"/>
    <w:rsid w:val="00D718A4"/>
    <w:rsid w:val="00D729CB"/>
    <w:rsid w:val="00D73AE2"/>
    <w:rsid w:val="00D74DCC"/>
    <w:rsid w:val="00D754D0"/>
    <w:rsid w:val="00D76F02"/>
    <w:rsid w:val="00D80A0C"/>
    <w:rsid w:val="00D80CB6"/>
    <w:rsid w:val="00D81626"/>
    <w:rsid w:val="00D8289C"/>
    <w:rsid w:val="00D82A7E"/>
    <w:rsid w:val="00D83B22"/>
    <w:rsid w:val="00D83D38"/>
    <w:rsid w:val="00D841CF"/>
    <w:rsid w:val="00D856A4"/>
    <w:rsid w:val="00D85BD1"/>
    <w:rsid w:val="00D863D4"/>
    <w:rsid w:val="00D8784A"/>
    <w:rsid w:val="00D909C3"/>
    <w:rsid w:val="00D91884"/>
    <w:rsid w:val="00D9229E"/>
    <w:rsid w:val="00D92E03"/>
    <w:rsid w:val="00D93B57"/>
    <w:rsid w:val="00D94F3D"/>
    <w:rsid w:val="00D95FCC"/>
    <w:rsid w:val="00DA44C0"/>
    <w:rsid w:val="00DA6FBB"/>
    <w:rsid w:val="00DB0170"/>
    <w:rsid w:val="00DB56E5"/>
    <w:rsid w:val="00DB5C31"/>
    <w:rsid w:val="00DB646E"/>
    <w:rsid w:val="00DC0B9F"/>
    <w:rsid w:val="00DC0C4C"/>
    <w:rsid w:val="00DC1784"/>
    <w:rsid w:val="00DC3D41"/>
    <w:rsid w:val="00DC476D"/>
    <w:rsid w:val="00DC5670"/>
    <w:rsid w:val="00DC76A5"/>
    <w:rsid w:val="00DD01FC"/>
    <w:rsid w:val="00DD09B2"/>
    <w:rsid w:val="00DD0C72"/>
    <w:rsid w:val="00DD1A1F"/>
    <w:rsid w:val="00DD209C"/>
    <w:rsid w:val="00DD3428"/>
    <w:rsid w:val="00DD3CA4"/>
    <w:rsid w:val="00DD437C"/>
    <w:rsid w:val="00DE0AFD"/>
    <w:rsid w:val="00DE113B"/>
    <w:rsid w:val="00DE1DBF"/>
    <w:rsid w:val="00DE22ED"/>
    <w:rsid w:val="00DE4224"/>
    <w:rsid w:val="00DE7000"/>
    <w:rsid w:val="00DF0FC0"/>
    <w:rsid w:val="00DF234B"/>
    <w:rsid w:val="00DF2D37"/>
    <w:rsid w:val="00DF35D1"/>
    <w:rsid w:val="00DF3600"/>
    <w:rsid w:val="00DF58F0"/>
    <w:rsid w:val="00DF690C"/>
    <w:rsid w:val="00E02417"/>
    <w:rsid w:val="00E03B4E"/>
    <w:rsid w:val="00E03D50"/>
    <w:rsid w:val="00E101D3"/>
    <w:rsid w:val="00E1160B"/>
    <w:rsid w:val="00E13F85"/>
    <w:rsid w:val="00E175AB"/>
    <w:rsid w:val="00E23151"/>
    <w:rsid w:val="00E25609"/>
    <w:rsid w:val="00E278EA"/>
    <w:rsid w:val="00E27FEE"/>
    <w:rsid w:val="00E33DDC"/>
    <w:rsid w:val="00E35245"/>
    <w:rsid w:val="00E3663B"/>
    <w:rsid w:val="00E427BE"/>
    <w:rsid w:val="00E42F2C"/>
    <w:rsid w:val="00E43186"/>
    <w:rsid w:val="00E435D2"/>
    <w:rsid w:val="00E440DD"/>
    <w:rsid w:val="00E4560A"/>
    <w:rsid w:val="00E458B7"/>
    <w:rsid w:val="00E460FF"/>
    <w:rsid w:val="00E50365"/>
    <w:rsid w:val="00E50437"/>
    <w:rsid w:val="00E50F86"/>
    <w:rsid w:val="00E5134E"/>
    <w:rsid w:val="00E52B88"/>
    <w:rsid w:val="00E551A9"/>
    <w:rsid w:val="00E56B4E"/>
    <w:rsid w:val="00E56F4E"/>
    <w:rsid w:val="00E57361"/>
    <w:rsid w:val="00E62673"/>
    <w:rsid w:val="00E63207"/>
    <w:rsid w:val="00E63A7E"/>
    <w:rsid w:val="00E665C2"/>
    <w:rsid w:val="00E673A7"/>
    <w:rsid w:val="00E6744B"/>
    <w:rsid w:val="00E70187"/>
    <w:rsid w:val="00E707BB"/>
    <w:rsid w:val="00E7333C"/>
    <w:rsid w:val="00E813F5"/>
    <w:rsid w:val="00E81703"/>
    <w:rsid w:val="00E81B44"/>
    <w:rsid w:val="00E82293"/>
    <w:rsid w:val="00E822A4"/>
    <w:rsid w:val="00E842F5"/>
    <w:rsid w:val="00E84765"/>
    <w:rsid w:val="00E84D8D"/>
    <w:rsid w:val="00E85B8A"/>
    <w:rsid w:val="00E93EE0"/>
    <w:rsid w:val="00E95706"/>
    <w:rsid w:val="00E974F3"/>
    <w:rsid w:val="00E97EAE"/>
    <w:rsid w:val="00EA0CCC"/>
    <w:rsid w:val="00EA1416"/>
    <w:rsid w:val="00EA1AD8"/>
    <w:rsid w:val="00EA363B"/>
    <w:rsid w:val="00EA3F08"/>
    <w:rsid w:val="00EA488E"/>
    <w:rsid w:val="00EA58E9"/>
    <w:rsid w:val="00EA700E"/>
    <w:rsid w:val="00EB01B2"/>
    <w:rsid w:val="00EB045D"/>
    <w:rsid w:val="00EB14BA"/>
    <w:rsid w:val="00EB2D00"/>
    <w:rsid w:val="00EB33B2"/>
    <w:rsid w:val="00EB3B10"/>
    <w:rsid w:val="00EB58F8"/>
    <w:rsid w:val="00EB69D5"/>
    <w:rsid w:val="00EC10AB"/>
    <w:rsid w:val="00EC140C"/>
    <w:rsid w:val="00EC2A2E"/>
    <w:rsid w:val="00EC2D0A"/>
    <w:rsid w:val="00EC31AE"/>
    <w:rsid w:val="00EC3B77"/>
    <w:rsid w:val="00EC58A3"/>
    <w:rsid w:val="00EC5AA4"/>
    <w:rsid w:val="00EC5CC3"/>
    <w:rsid w:val="00EC7793"/>
    <w:rsid w:val="00ED01A0"/>
    <w:rsid w:val="00ED4BFB"/>
    <w:rsid w:val="00ED6061"/>
    <w:rsid w:val="00EE05AF"/>
    <w:rsid w:val="00EE1D37"/>
    <w:rsid w:val="00EE32ED"/>
    <w:rsid w:val="00EE4746"/>
    <w:rsid w:val="00EE708B"/>
    <w:rsid w:val="00EF0F06"/>
    <w:rsid w:val="00EF1A9E"/>
    <w:rsid w:val="00EF5048"/>
    <w:rsid w:val="00EF5451"/>
    <w:rsid w:val="00F00206"/>
    <w:rsid w:val="00F0319B"/>
    <w:rsid w:val="00F045FF"/>
    <w:rsid w:val="00F054F3"/>
    <w:rsid w:val="00F05D8E"/>
    <w:rsid w:val="00F0621F"/>
    <w:rsid w:val="00F06B01"/>
    <w:rsid w:val="00F11803"/>
    <w:rsid w:val="00F1472B"/>
    <w:rsid w:val="00F159BC"/>
    <w:rsid w:val="00F16E83"/>
    <w:rsid w:val="00F21ECA"/>
    <w:rsid w:val="00F22060"/>
    <w:rsid w:val="00F22D7E"/>
    <w:rsid w:val="00F23D54"/>
    <w:rsid w:val="00F23EE6"/>
    <w:rsid w:val="00F242C2"/>
    <w:rsid w:val="00F25416"/>
    <w:rsid w:val="00F339B9"/>
    <w:rsid w:val="00F35167"/>
    <w:rsid w:val="00F415E7"/>
    <w:rsid w:val="00F43936"/>
    <w:rsid w:val="00F44CA6"/>
    <w:rsid w:val="00F4593A"/>
    <w:rsid w:val="00F461ED"/>
    <w:rsid w:val="00F4688A"/>
    <w:rsid w:val="00F46FF0"/>
    <w:rsid w:val="00F5194C"/>
    <w:rsid w:val="00F541E5"/>
    <w:rsid w:val="00F54B1F"/>
    <w:rsid w:val="00F6274F"/>
    <w:rsid w:val="00F63472"/>
    <w:rsid w:val="00F644FB"/>
    <w:rsid w:val="00F70ABB"/>
    <w:rsid w:val="00F70DBF"/>
    <w:rsid w:val="00F71483"/>
    <w:rsid w:val="00F72D48"/>
    <w:rsid w:val="00F73B25"/>
    <w:rsid w:val="00F740F6"/>
    <w:rsid w:val="00F74860"/>
    <w:rsid w:val="00F74A4C"/>
    <w:rsid w:val="00F805A3"/>
    <w:rsid w:val="00F85687"/>
    <w:rsid w:val="00F873FC"/>
    <w:rsid w:val="00F87AA6"/>
    <w:rsid w:val="00F91E2D"/>
    <w:rsid w:val="00F93684"/>
    <w:rsid w:val="00F946DA"/>
    <w:rsid w:val="00F94C31"/>
    <w:rsid w:val="00F97674"/>
    <w:rsid w:val="00FA1389"/>
    <w:rsid w:val="00FA33BB"/>
    <w:rsid w:val="00FA5BD3"/>
    <w:rsid w:val="00FB0054"/>
    <w:rsid w:val="00FB16F7"/>
    <w:rsid w:val="00FB3F76"/>
    <w:rsid w:val="00FB45DF"/>
    <w:rsid w:val="00FB520F"/>
    <w:rsid w:val="00FB5721"/>
    <w:rsid w:val="00FB5722"/>
    <w:rsid w:val="00FB57B1"/>
    <w:rsid w:val="00FB7402"/>
    <w:rsid w:val="00FC0FE1"/>
    <w:rsid w:val="00FC1045"/>
    <w:rsid w:val="00FC3D7B"/>
    <w:rsid w:val="00FC4772"/>
    <w:rsid w:val="00FC5199"/>
    <w:rsid w:val="00FC74D0"/>
    <w:rsid w:val="00FD0DBE"/>
    <w:rsid w:val="00FD18D2"/>
    <w:rsid w:val="00FD18EF"/>
    <w:rsid w:val="00FD3B64"/>
    <w:rsid w:val="00FD4F8B"/>
    <w:rsid w:val="00FD6727"/>
    <w:rsid w:val="00FD7433"/>
    <w:rsid w:val="00FE16F1"/>
    <w:rsid w:val="00FE197C"/>
    <w:rsid w:val="00FE2CE1"/>
    <w:rsid w:val="00FE352F"/>
    <w:rsid w:val="00FE4583"/>
    <w:rsid w:val="00FE5617"/>
    <w:rsid w:val="00FE5FA2"/>
    <w:rsid w:val="00FE66E7"/>
    <w:rsid w:val="00FE68BB"/>
    <w:rsid w:val="00FE7A68"/>
    <w:rsid w:val="00FE7D7F"/>
    <w:rsid w:val="00FF34C1"/>
    <w:rsid w:val="00FF3EE6"/>
    <w:rsid w:val="00FF5609"/>
    <w:rsid w:val="00FF56DE"/>
    <w:rsid w:val="00FF7A69"/>
    <w:rsid w:val="01278A94"/>
    <w:rsid w:val="016A3452"/>
    <w:rsid w:val="05F6D2E2"/>
    <w:rsid w:val="06BC411E"/>
    <w:rsid w:val="078B10C7"/>
    <w:rsid w:val="07C29012"/>
    <w:rsid w:val="0A317583"/>
    <w:rsid w:val="0D9F5A2D"/>
    <w:rsid w:val="0DFA524B"/>
    <w:rsid w:val="11AD5D08"/>
    <w:rsid w:val="174E29F9"/>
    <w:rsid w:val="1762A229"/>
    <w:rsid w:val="179F433E"/>
    <w:rsid w:val="1800F58D"/>
    <w:rsid w:val="19644585"/>
    <w:rsid w:val="1AFBB2C3"/>
    <w:rsid w:val="1CA025CA"/>
    <w:rsid w:val="20477F4B"/>
    <w:rsid w:val="22F29352"/>
    <w:rsid w:val="242CAD01"/>
    <w:rsid w:val="26A9C81A"/>
    <w:rsid w:val="2B76891B"/>
    <w:rsid w:val="317EFF4C"/>
    <w:rsid w:val="32D1A00C"/>
    <w:rsid w:val="34508A65"/>
    <w:rsid w:val="35CD6655"/>
    <w:rsid w:val="3868921C"/>
    <w:rsid w:val="3A016DE7"/>
    <w:rsid w:val="3B515F82"/>
    <w:rsid w:val="3BCE7CA6"/>
    <w:rsid w:val="3CF4D78E"/>
    <w:rsid w:val="4343C76A"/>
    <w:rsid w:val="47C7E8D5"/>
    <w:rsid w:val="4925E907"/>
    <w:rsid w:val="4ADF7721"/>
    <w:rsid w:val="5026D93A"/>
    <w:rsid w:val="52D97606"/>
    <w:rsid w:val="5420B67E"/>
    <w:rsid w:val="561CFBF9"/>
    <w:rsid w:val="599B382A"/>
    <w:rsid w:val="5B96B693"/>
    <w:rsid w:val="5E81C517"/>
    <w:rsid w:val="62070C42"/>
    <w:rsid w:val="650006DF"/>
    <w:rsid w:val="682C3584"/>
    <w:rsid w:val="6A38B4D7"/>
    <w:rsid w:val="6FED86A2"/>
    <w:rsid w:val="75591F19"/>
    <w:rsid w:val="7706308C"/>
    <w:rsid w:val="7B15396B"/>
    <w:rsid w:val="7C51067F"/>
    <w:rsid w:val="7F4245E7"/>
    <w:rsid w:val="7FD222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122EDD"/>
  <w15:docId w15:val="{4778BB5E-74F1-4903-A8BC-F5347E39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FC1"/>
    <w:pPr>
      <w:spacing w:before="120" w:after="120" w:line="360" w:lineRule="auto"/>
    </w:pPr>
    <w:rPr>
      <w:sz w:val="24"/>
      <w:szCs w:val="22"/>
      <w:lang w:eastAsia="en-US"/>
    </w:rPr>
  </w:style>
  <w:style w:type="paragraph" w:styleId="Heading1">
    <w:name w:val="heading 1"/>
    <w:basedOn w:val="Normal"/>
    <w:next w:val="Normal"/>
    <w:link w:val="Heading1Char"/>
    <w:qFormat/>
    <w:rsid w:val="00F1472B"/>
    <w:pPr>
      <w:keepNext/>
      <w:keepLines/>
      <w:numPr>
        <w:numId w:val="9"/>
      </w:numPr>
      <w:spacing w:before="480"/>
      <w:outlineLvl w:val="0"/>
    </w:pPr>
    <w:rPr>
      <w:rFonts w:eastAsia="Times New Roman"/>
      <w:b/>
      <w:bCs/>
      <w:color w:val="008938"/>
      <w:sz w:val="36"/>
      <w:szCs w:val="28"/>
    </w:rPr>
  </w:style>
  <w:style w:type="paragraph" w:styleId="Heading2">
    <w:name w:val="heading 2"/>
    <w:next w:val="Normal"/>
    <w:link w:val="Heading2Char"/>
    <w:autoRedefine/>
    <w:qFormat/>
    <w:rsid w:val="00A92A99"/>
    <w:pPr>
      <w:keepNext/>
      <w:spacing w:before="480" w:after="120" w:line="360" w:lineRule="auto"/>
      <w:jc w:val="both"/>
      <w:outlineLvl w:val="1"/>
    </w:pPr>
    <w:rPr>
      <w:rFonts w:eastAsia="Times New Roman"/>
      <w:b/>
      <w:bCs/>
      <w:iCs/>
      <w:color w:val="008938"/>
      <w:sz w:val="32"/>
      <w:szCs w:val="28"/>
      <w:lang w:eastAsia="en-US"/>
    </w:rPr>
  </w:style>
  <w:style w:type="paragraph" w:styleId="Heading3">
    <w:name w:val="heading 3"/>
    <w:basedOn w:val="Normal"/>
    <w:next w:val="Normal"/>
    <w:link w:val="Heading3Char"/>
    <w:qFormat/>
    <w:rsid w:val="00B36108"/>
    <w:pPr>
      <w:keepNext/>
      <w:keepLines/>
      <w:numPr>
        <w:ilvl w:val="2"/>
        <w:numId w:val="9"/>
      </w:numPr>
      <w:spacing w:before="360" w:after="0"/>
      <w:outlineLvl w:val="2"/>
    </w:pPr>
    <w:rPr>
      <w:rFonts w:eastAsia="Times New Roman"/>
      <w:b/>
      <w:bCs/>
      <w:color w:val="008938"/>
    </w:rPr>
  </w:style>
  <w:style w:type="paragraph" w:styleId="Heading4">
    <w:name w:val="heading 4"/>
    <w:basedOn w:val="Normal"/>
    <w:next w:val="Normal"/>
    <w:link w:val="Heading4Char"/>
    <w:rsid w:val="00057683"/>
    <w:pPr>
      <w:keepNext/>
      <w:keepLines/>
      <w:numPr>
        <w:ilvl w:val="3"/>
        <w:numId w:val="9"/>
      </w:numPr>
      <w:spacing w:before="200"/>
      <w:outlineLvl w:val="3"/>
    </w:pPr>
    <w:rPr>
      <w:rFonts w:eastAsia="Times New Roman"/>
      <w:b/>
      <w:bCs/>
      <w:iCs/>
    </w:rPr>
  </w:style>
  <w:style w:type="paragraph" w:styleId="Heading5">
    <w:name w:val="heading 5"/>
    <w:basedOn w:val="Normal"/>
    <w:next w:val="Normal"/>
    <w:link w:val="Heading5Char"/>
    <w:rsid w:val="00AE2422"/>
    <w:pPr>
      <w:keepNext/>
      <w:keepLines/>
      <w:numPr>
        <w:ilvl w:val="4"/>
        <w:numId w:val="9"/>
      </w:numPr>
      <w:spacing w:before="200"/>
      <w:outlineLvl w:val="4"/>
    </w:pPr>
    <w:rPr>
      <w:rFonts w:eastAsia="Times New Roman"/>
      <w:i/>
    </w:rPr>
  </w:style>
  <w:style w:type="paragraph" w:styleId="Heading6">
    <w:name w:val="heading 6"/>
    <w:basedOn w:val="Normal"/>
    <w:next w:val="Normal"/>
    <w:link w:val="Heading6Char"/>
    <w:uiPriority w:val="9"/>
    <w:semiHidden/>
    <w:unhideWhenUsed/>
    <w:rsid w:val="007848C7"/>
    <w:pPr>
      <w:keepNext/>
      <w:keepLines/>
      <w:numPr>
        <w:ilvl w:val="5"/>
        <w:numId w:val="9"/>
      </w:numPr>
      <w:spacing w:before="40" w:after="0"/>
      <w:outlineLvl w:val="5"/>
    </w:pPr>
    <w:rPr>
      <w:rFonts w:asciiTheme="majorHAnsi" w:eastAsiaTheme="majorEastAsia" w:hAnsiTheme="majorHAnsi" w:cstheme="majorBidi"/>
      <w:color w:val="005720" w:themeColor="accent1" w:themeShade="7F"/>
    </w:rPr>
  </w:style>
  <w:style w:type="paragraph" w:styleId="Heading7">
    <w:name w:val="heading 7"/>
    <w:basedOn w:val="Normal"/>
    <w:next w:val="Normal"/>
    <w:link w:val="Heading7Char"/>
    <w:uiPriority w:val="9"/>
    <w:semiHidden/>
    <w:unhideWhenUsed/>
    <w:qFormat/>
    <w:rsid w:val="007848C7"/>
    <w:pPr>
      <w:keepNext/>
      <w:keepLines/>
      <w:numPr>
        <w:ilvl w:val="6"/>
        <w:numId w:val="9"/>
      </w:numPr>
      <w:spacing w:before="40" w:after="0"/>
      <w:outlineLvl w:val="6"/>
    </w:pPr>
    <w:rPr>
      <w:rFonts w:asciiTheme="majorHAnsi" w:eastAsiaTheme="majorEastAsia" w:hAnsiTheme="majorHAnsi" w:cstheme="majorBidi"/>
      <w:i/>
      <w:iCs/>
      <w:color w:val="005720" w:themeColor="accent1" w:themeShade="7F"/>
    </w:rPr>
  </w:style>
  <w:style w:type="paragraph" w:styleId="Heading8">
    <w:name w:val="heading 8"/>
    <w:basedOn w:val="Normal"/>
    <w:next w:val="Normal"/>
    <w:link w:val="Heading8Char"/>
    <w:uiPriority w:val="9"/>
    <w:semiHidden/>
    <w:unhideWhenUsed/>
    <w:qFormat/>
    <w:rsid w:val="007848C7"/>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48C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92A99"/>
    <w:rPr>
      <w:rFonts w:eastAsia="Times New Roman"/>
      <w:b/>
      <w:bCs/>
      <w:iCs/>
      <w:color w:val="008938"/>
      <w:sz w:val="32"/>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46B20"/>
    <w:pPr>
      <w:spacing w:after="200"/>
    </w:pPr>
    <w:rPr>
      <w:color w:val="008938"/>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aliases w:val="Main Title"/>
    <w:basedOn w:val="Normal"/>
    <w:link w:val="HeaderChar"/>
    <w:rsid w:val="00113634"/>
    <w:pPr>
      <w:jc w:val="right"/>
    </w:pPr>
  </w:style>
  <w:style w:type="character" w:customStyle="1" w:styleId="HeaderChar">
    <w:name w:val="Header Char"/>
    <w:aliases w:val="Main Title Char"/>
    <w:basedOn w:val="DefaultParagraphFont"/>
    <w:link w:val="Header"/>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742965"/>
    <w:pPr>
      <w:spacing w:after="280"/>
    </w:pPr>
    <w:rPr>
      <w:color w:val="008631"/>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1"/>
      </w:numPr>
      <w:spacing w:after="120"/>
      <w:ind w:left="340" w:hanging="34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F1472B"/>
    <w:rPr>
      <w:rFonts w:eastAsia="Times New Roman"/>
      <w:b/>
      <w:bCs/>
      <w:color w:val="008938"/>
      <w:sz w:val="36"/>
      <w:szCs w:val="28"/>
      <w:lang w:eastAsia="en-US"/>
    </w:rPr>
  </w:style>
  <w:style w:type="paragraph" w:customStyle="1" w:styleId="Dashedbullet">
    <w:name w:val="Dashed bullet"/>
    <w:basedOn w:val="Maintextblack"/>
    <w:uiPriority w:val="5"/>
    <w:rsid w:val="00635AFC"/>
    <w:pPr>
      <w:numPr>
        <w:numId w:val="5"/>
      </w:numPr>
      <w:spacing w:after="80"/>
      <w:ind w:left="340" w:hanging="34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B36108"/>
    <w:rPr>
      <w:rFonts w:eastAsia="Times New Roman"/>
      <w:b/>
      <w:bCs/>
      <w:color w:val="008938"/>
      <w:sz w:val="24"/>
      <w:szCs w:val="22"/>
      <w:lang w:eastAsia="en-US"/>
    </w:rPr>
  </w:style>
  <w:style w:type="paragraph" w:styleId="TOC1">
    <w:name w:val="toc 1"/>
    <w:basedOn w:val="Normal"/>
    <w:next w:val="Normal"/>
    <w:autoRedefine/>
    <w:uiPriority w:val="39"/>
    <w:qFormat/>
    <w:rsid w:val="00414262"/>
    <w:pPr>
      <w:tabs>
        <w:tab w:val="right" w:leader="dot" w:pos="9621"/>
      </w:tabs>
      <w:spacing w:after="100" w:line="240" w:lineRule="auto"/>
    </w:pPr>
    <w:rPr>
      <w:b/>
      <w:noProof/>
      <w:color w:val="008938"/>
    </w:r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414262"/>
    <w:pPr>
      <w:spacing w:after="100" w:line="240" w:lineRule="auto"/>
      <w:ind w:left="442"/>
    </w:pPr>
    <w:rPr>
      <w:sz w:val="20"/>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qFormat/>
    <w:rsid w:val="00414262"/>
    <w:pPr>
      <w:spacing w:after="100" w:line="240" w:lineRule="auto"/>
      <w:ind w:left="221"/>
    </w:pPr>
    <w:rPr>
      <w:sz w:val="22"/>
    </w:r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AE2422"/>
    <w:rPr>
      <w:rFonts w:eastAsia="Times New Roman"/>
      <w:i/>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aliases w:val="RSK-FT,RSK-FT1,RSK-FT2"/>
    <w:basedOn w:val="Normal"/>
    <w:link w:val="FootnoteTextChar"/>
    <w:uiPriority w:val="99"/>
    <w:unhideWhenUsed/>
    <w:qFormat/>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aliases w:val="RSK-FT Char,RSK-FT1 Char,RSK-FT2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090C17"/>
    <w:pPr>
      <w:ind w:left="85" w:right="85"/>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Arial Bold" w:hAnsi="Arial Bold"/>
        <w:b/>
        <w:color w:val="FFFFFF" w:themeColor="background1"/>
        <w:sz w:val="28"/>
        <w:u w:val="none" w:color="FFFFFF" w:themeColor="background1"/>
      </w:rPr>
      <w:tblPr/>
      <w:tcPr>
        <w:shd w:val="clear" w:color="auto" w:fill="008938"/>
      </w:tcPr>
    </w:tblStylePr>
    <w:tblStylePr w:type="firstCol">
      <w:rPr>
        <w:b w:val="0"/>
        <w:i w:val="0"/>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i w:val="0"/>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qFormat/>
    <w:rsid w:val="00586587"/>
    <w:pPr>
      <w:spacing w:before="360" w:after="0"/>
    </w:pPr>
    <w:rPr>
      <w:b/>
      <w:iCs/>
      <w:color w:val="008938"/>
      <w:szCs w:val="18"/>
    </w:rPr>
  </w:style>
  <w:style w:type="paragraph" w:customStyle="1" w:styleId="Contents">
    <w:name w:val="Contents"/>
    <w:basedOn w:val="Normal"/>
    <w:next w:val="Normal"/>
    <w:uiPriority w:val="2"/>
    <w:qFormat/>
    <w:rsid w:val="00482975"/>
    <w:rPr>
      <w:b/>
      <w:color w:val="008938"/>
      <w:sz w:val="28"/>
      <w:lang w:eastAsia="en-GB"/>
    </w:rPr>
  </w:style>
  <w:style w:type="paragraph" w:styleId="ListParagraph">
    <w:name w:val="List Paragraph"/>
    <w:basedOn w:val="Normal"/>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semiHidden/>
    <w:unhideWhenUsed/>
    <w:rsid w:val="00706BBA"/>
    <w:pPr>
      <w:spacing w:before="0" w:after="360" w:line="240" w:lineRule="auto"/>
    </w:pPr>
    <w:rPr>
      <w:rFonts w:ascii="Times New Roman" w:eastAsia="Times New Roman" w:hAnsi="Times New Roman"/>
      <w:szCs w:val="24"/>
      <w:lang w:eastAsia="en-GB"/>
    </w:rPr>
  </w:style>
  <w:style w:type="table" w:styleId="ListTable3-Accent1">
    <w:name w:val="List Table 3 Accent 1"/>
    <w:basedOn w:val="TableNormal"/>
    <w:uiPriority w:val="48"/>
    <w:rsid w:val="00A21119"/>
    <w:tblPr>
      <w:tblStyleRowBandSize w:val="1"/>
      <w:tblStyleColBandSize w:val="1"/>
      <w:tblBorders>
        <w:top w:val="single" w:sz="4" w:space="0" w:color="00AF41" w:themeColor="accent1"/>
        <w:left w:val="single" w:sz="4" w:space="0" w:color="00AF41" w:themeColor="accent1"/>
        <w:bottom w:val="single" w:sz="4" w:space="0" w:color="00AF41" w:themeColor="accent1"/>
        <w:right w:val="single" w:sz="4" w:space="0" w:color="00AF41" w:themeColor="accent1"/>
      </w:tblBorders>
    </w:tblPr>
    <w:tblStylePr w:type="firstRow">
      <w:rPr>
        <w:b/>
        <w:bCs/>
        <w:color w:val="FFFFFF" w:themeColor="background1"/>
      </w:rPr>
      <w:tblPr/>
      <w:tcPr>
        <w:shd w:val="clear" w:color="auto" w:fill="00AF41" w:themeFill="accent1"/>
      </w:tcPr>
    </w:tblStylePr>
    <w:tblStylePr w:type="lastRow">
      <w:rPr>
        <w:b/>
        <w:bCs/>
      </w:rPr>
      <w:tblPr/>
      <w:tcPr>
        <w:tcBorders>
          <w:top w:val="double" w:sz="4" w:space="0" w:color="00AF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41" w:themeColor="accent1"/>
          <w:right w:val="single" w:sz="4" w:space="0" w:color="00AF41" w:themeColor="accent1"/>
        </w:tcBorders>
      </w:tcPr>
    </w:tblStylePr>
    <w:tblStylePr w:type="band1Horz">
      <w:tblPr/>
      <w:tcPr>
        <w:tcBorders>
          <w:top w:val="single" w:sz="4" w:space="0" w:color="00AF41" w:themeColor="accent1"/>
          <w:bottom w:val="single" w:sz="4" w:space="0" w:color="00AF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41" w:themeColor="accent1"/>
          <w:left w:val="nil"/>
        </w:tcBorders>
      </w:tcPr>
    </w:tblStylePr>
    <w:tblStylePr w:type="swCell">
      <w:tblPr/>
      <w:tcPr>
        <w:tcBorders>
          <w:top w:val="double" w:sz="4" w:space="0" w:color="00AF41" w:themeColor="accent1"/>
          <w:right w:val="nil"/>
        </w:tcBorders>
      </w:tcPr>
    </w:tblStylePr>
  </w:style>
  <w:style w:type="character" w:styleId="FootnoteReference">
    <w:name w:val="footnote reference"/>
    <w:basedOn w:val="DefaultParagraphFont"/>
    <w:unhideWhenUsed/>
    <w:rsid w:val="00C04D38"/>
    <w:rPr>
      <w:vertAlign w:val="superscript"/>
    </w:rPr>
  </w:style>
  <w:style w:type="character" w:customStyle="1" w:styleId="Heading6Char">
    <w:name w:val="Heading 6 Char"/>
    <w:basedOn w:val="DefaultParagraphFont"/>
    <w:link w:val="Heading6"/>
    <w:uiPriority w:val="9"/>
    <w:semiHidden/>
    <w:rsid w:val="007848C7"/>
    <w:rPr>
      <w:rFonts w:asciiTheme="majorHAnsi" w:eastAsiaTheme="majorEastAsia" w:hAnsiTheme="majorHAnsi" w:cstheme="majorBidi"/>
      <w:color w:val="005720" w:themeColor="accent1" w:themeShade="7F"/>
      <w:sz w:val="24"/>
      <w:szCs w:val="22"/>
      <w:lang w:eastAsia="en-US"/>
    </w:rPr>
  </w:style>
  <w:style w:type="character" w:customStyle="1" w:styleId="Heading7Char">
    <w:name w:val="Heading 7 Char"/>
    <w:basedOn w:val="DefaultParagraphFont"/>
    <w:link w:val="Heading7"/>
    <w:uiPriority w:val="9"/>
    <w:semiHidden/>
    <w:rsid w:val="007848C7"/>
    <w:rPr>
      <w:rFonts w:asciiTheme="majorHAnsi" w:eastAsiaTheme="majorEastAsia" w:hAnsiTheme="majorHAnsi" w:cstheme="majorBidi"/>
      <w:i/>
      <w:iCs/>
      <w:color w:val="005720" w:themeColor="accent1" w:themeShade="7F"/>
      <w:sz w:val="24"/>
      <w:szCs w:val="22"/>
      <w:lang w:eastAsia="en-US"/>
    </w:rPr>
  </w:style>
  <w:style w:type="character" w:customStyle="1" w:styleId="Heading8Char">
    <w:name w:val="Heading 8 Char"/>
    <w:basedOn w:val="DefaultParagraphFont"/>
    <w:link w:val="Heading8"/>
    <w:uiPriority w:val="9"/>
    <w:semiHidden/>
    <w:rsid w:val="007848C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848C7"/>
    <w:rPr>
      <w:rFonts w:asciiTheme="majorHAnsi" w:eastAsiaTheme="majorEastAsia" w:hAnsiTheme="majorHAnsi" w:cstheme="majorBidi"/>
      <w:i/>
      <w:iCs/>
      <w:color w:val="272727" w:themeColor="text1" w:themeTint="D8"/>
      <w:sz w:val="21"/>
      <w:szCs w:val="21"/>
      <w:lang w:eastAsia="en-US"/>
    </w:rPr>
  </w:style>
  <w:style w:type="paragraph" w:customStyle="1" w:styleId="Style1">
    <w:name w:val="Style1"/>
    <w:basedOn w:val="Normal"/>
    <w:link w:val="Style1Char"/>
    <w:qFormat/>
    <w:rsid w:val="00EB58F8"/>
    <w:rPr>
      <w:rFonts w:eastAsia="Times New Roman"/>
      <w:szCs w:val="24"/>
    </w:rPr>
  </w:style>
  <w:style w:type="character" w:customStyle="1" w:styleId="Style1Char">
    <w:name w:val="Style1 Char"/>
    <w:link w:val="Style1"/>
    <w:rsid w:val="00EB58F8"/>
    <w:rPr>
      <w:rFonts w:eastAsia="Times New Roman"/>
      <w:sz w:val="24"/>
      <w:szCs w:val="24"/>
      <w:lang w:eastAsia="en-US"/>
    </w:rPr>
  </w:style>
  <w:style w:type="paragraph" w:styleId="TableofFigures">
    <w:name w:val="table of figures"/>
    <w:basedOn w:val="Normal"/>
    <w:next w:val="Normal"/>
    <w:uiPriority w:val="99"/>
    <w:unhideWhenUsed/>
    <w:rsid w:val="00A40660"/>
    <w:pPr>
      <w:spacing w:before="0" w:after="0"/>
    </w:pPr>
  </w:style>
  <w:style w:type="character" w:customStyle="1" w:styleId="UnresolvedMention2">
    <w:name w:val="Unresolved Mention2"/>
    <w:basedOn w:val="DefaultParagraphFont"/>
    <w:uiPriority w:val="99"/>
    <w:semiHidden/>
    <w:unhideWhenUsed/>
    <w:rsid w:val="000A54BF"/>
    <w:rPr>
      <w:color w:val="605E5C"/>
      <w:shd w:val="clear" w:color="auto" w:fill="E1DFDD"/>
    </w:rPr>
  </w:style>
  <w:style w:type="character" w:customStyle="1" w:styleId="Mention1">
    <w:name w:val="Mention1"/>
    <w:basedOn w:val="DefaultParagraphFont"/>
    <w:uiPriority w:val="99"/>
    <w:unhideWhenUsed/>
    <w:rsid w:val="001C0A47"/>
    <w:rPr>
      <w:color w:val="2B579A"/>
      <w:shd w:val="clear" w:color="auto" w:fill="E6E6E6"/>
    </w:rPr>
  </w:style>
  <w:style w:type="character" w:customStyle="1" w:styleId="UnresolvedMention3">
    <w:name w:val="Unresolved Mention3"/>
    <w:basedOn w:val="DefaultParagraphFont"/>
    <w:uiPriority w:val="99"/>
    <w:semiHidden/>
    <w:unhideWhenUsed/>
    <w:rsid w:val="00117E08"/>
    <w:rPr>
      <w:color w:val="605E5C"/>
      <w:shd w:val="clear" w:color="auto" w:fill="E1DFDD"/>
    </w:rPr>
  </w:style>
  <w:style w:type="paragraph" w:styleId="Revision">
    <w:name w:val="Revision"/>
    <w:hidden/>
    <w:uiPriority w:val="99"/>
    <w:semiHidden/>
    <w:rsid w:val="003F3A76"/>
    <w:rPr>
      <w:sz w:val="24"/>
      <w:szCs w:val="22"/>
      <w:lang w:eastAsia="en-US"/>
    </w:rPr>
  </w:style>
  <w:style w:type="character" w:styleId="UnresolvedMention">
    <w:name w:val="Unresolved Mention"/>
    <w:basedOn w:val="DefaultParagraphFont"/>
    <w:uiPriority w:val="99"/>
    <w:semiHidden/>
    <w:unhideWhenUsed/>
    <w:rsid w:val="009D56FA"/>
    <w:rPr>
      <w:color w:val="605E5C"/>
      <w:shd w:val="clear" w:color="auto" w:fill="E1DFDD"/>
    </w:rPr>
  </w:style>
  <w:style w:type="numbering" w:customStyle="1" w:styleId="NoList1">
    <w:name w:val="No List1"/>
    <w:next w:val="NoList"/>
    <w:uiPriority w:val="99"/>
    <w:semiHidden/>
    <w:unhideWhenUsed/>
    <w:rsid w:val="001D57F0"/>
  </w:style>
  <w:style w:type="paragraph" w:customStyle="1" w:styleId="msonormal0">
    <w:name w:val="msonormal"/>
    <w:basedOn w:val="Normal"/>
    <w:rsid w:val="001D57F0"/>
    <w:pPr>
      <w:spacing w:before="100" w:beforeAutospacing="1" w:after="100" w:afterAutospacing="1" w:line="240" w:lineRule="auto"/>
    </w:pPr>
    <w:rPr>
      <w:rFonts w:ascii="Times New Roman" w:eastAsia="Times New Roman" w:hAnsi="Times New Roman"/>
      <w:szCs w:val="24"/>
      <w:lang w:eastAsia="en-GB"/>
    </w:rPr>
  </w:style>
  <w:style w:type="paragraph" w:customStyle="1" w:styleId="font5">
    <w:name w:val="font5"/>
    <w:basedOn w:val="Normal"/>
    <w:rsid w:val="001D57F0"/>
    <w:pPr>
      <w:spacing w:before="100" w:beforeAutospacing="1" w:after="100" w:afterAutospacing="1" w:line="240" w:lineRule="auto"/>
    </w:pPr>
    <w:rPr>
      <w:rFonts w:eastAsia="Times New Roman" w:cs="Arial"/>
      <w:b/>
      <w:bCs/>
      <w:color w:val="FFFFFF"/>
      <w:sz w:val="20"/>
      <w:szCs w:val="20"/>
      <w:lang w:eastAsia="en-GB"/>
    </w:rPr>
  </w:style>
  <w:style w:type="paragraph" w:customStyle="1" w:styleId="font6">
    <w:name w:val="font6"/>
    <w:basedOn w:val="Normal"/>
    <w:rsid w:val="001D57F0"/>
    <w:pPr>
      <w:spacing w:before="100" w:beforeAutospacing="1" w:after="100" w:afterAutospacing="1" w:line="240" w:lineRule="auto"/>
    </w:pPr>
    <w:rPr>
      <w:rFonts w:eastAsia="Times New Roman" w:cs="Arial"/>
      <w:b/>
      <w:bCs/>
      <w:color w:val="FFFFFF"/>
      <w:sz w:val="20"/>
      <w:szCs w:val="20"/>
      <w:lang w:eastAsia="en-GB"/>
    </w:rPr>
  </w:style>
  <w:style w:type="paragraph" w:customStyle="1" w:styleId="font7">
    <w:name w:val="font7"/>
    <w:basedOn w:val="Normal"/>
    <w:rsid w:val="001D57F0"/>
    <w:pPr>
      <w:spacing w:before="100" w:beforeAutospacing="1" w:after="100" w:afterAutospacing="1" w:line="240" w:lineRule="auto"/>
    </w:pPr>
    <w:rPr>
      <w:rFonts w:eastAsia="Times New Roman" w:cs="Arial"/>
      <w:b/>
      <w:bCs/>
      <w:color w:val="FFFFFF"/>
      <w:sz w:val="20"/>
      <w:szCs w:val="20"/>
      <w:lang w:eastAsia="en-GB"/>
    </w:rPr>
  </w:style>
  <w:style w:type="paragraph" w:customStyle="1" w:styleId="xl65">
    <w:name w:val="xl65"/>
    <w:basedOn w:val="Normal"/>
    <w:rsid w:val="001D57F0"/>
    <w:pPr>
      <w:pBdr>
        <w:top w:val="single" w:sz="4" w:space="0" w:color="auto"/>
        <w:left w:val="single" w:sz="4" w:space="0" w:color="auto"/>
        <w:bottom w:val="single" w:sz="4" w:space="0" w:color="auto"/>
        <w:right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66">
    <w:name w:val="xl66"/>
    <w:basedOn w:val="Normal"/>
    <w:rsid w:val="001D57F0"/>
    <w:pPr>
      <w:pBdr>
        <w:top w:val="single" w:sz="4" w:space="0" w:color="auto"/>
        <w:left w:val="single" w:sz="4" w:space="0" w:color="auto"/>
        <w:bottom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67">
    <w:name w:val="xl67"/>
    <w:basedOn w:val="Normal"/>
    <w:rsid w:val="001D57F0"/>
    <w:pPr>
      <w:pBdr>
        <w:top w:val="single" w:sz="4" w:space="0" w:color="auto"/>
        <w:bottom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68">
    <w:name w:val="xl68"/>
    <w:basedOn w:val="Normal"/>
    <w:rsid w:val="001D57F0"/>
    <w:pPr>
      <w:pBdr>
        <w:top w:val="single" w:sz="4" w:space="0" w:color="auto"/>
        <w:left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69">
    <w:name w:val="xl69"/>
    <w:basedOn w:val="Normal"/>
    <w:rsid w:val="001D57F0"/>
    <w:pPr>
      <w:pBdr>
        <w:top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70">
    <w:name w:val="xl70"/>
    <w:basedOn w:val="Normal"/>
    <w:rsid w:val="001D57F0"/>
    <w:pPr>
      <w:pBdr>
        <w:top w:val="single" w:sz="4" w:space="0" w:color="auto"/>
        <w:right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71">
    <w:name w:val="xl71"/>
    <w:basedOn w:val="Normal"/>
    <w:rsid w:val="001D57F0"/>
    <w:pPr>
      <w:pBdr>
        <w:top w:val="single" w:sz="4" w:space="0" w:color="auto"/>
        <w:left w:val="single" w:sz="4" w:space="0" w:color="auto"/>
        <w:right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72">
    <w:name w:val="xl72"/>
    <w:basedOn w:val="Normal"/>
    <w:rsid w:val="001D57F0"/>
    <w:pPr>
      <w:pBdr>
        <w:left w:val="single" w:sz="4" w:space="0" w:color="auto"/>
        <w:bottom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73">
    <w:name w:val="xl73"/>
    <w:basedOn w:val="Normal"/>
    <w:rsid w:val="001D57F0"/>
    <w:pPr>
      <w:pBdr>
        <w:bottom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74">
    <w:name w:val="xl74"/>
    <w:basedOn w:val="Normal"/>
    <w:rsid w:val="001D57F0"/>
    <w:pPr>
      <w:pBdr>
        <w:bottom w:val="single" w:sz="4" w:space="0" w:color="auto"/>
        <w:right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75">
    <w:name w:val="xl75"/>
    <w:basedOn w:val="Normal"/>
    <w:rsid w:val="001D57F0"/>
    <w:pPr>
      <w:pBdr>
        <w:left w:val="single" w:sz="4" w:space="0" w:color="auto"/>
        <w:bottom w:val="single" w:sz="4" w:space="0" w:color="auto"/>
        <w:right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76">
    <w:name w:val="xl76"/>
    <w:basedOn w:val="Normal"/>
    <w:rsid w:val="001D57F0"/>
    <w:pPr>
      <w:pBdr>
        <w:top w:val="single" w:sz="4" w:space="0" w:color="auto"/>
        <w:left w:val="single" w:sz="4" w:space="0" w:color="auto"/>
        <w:bottom w:val="single" w:sz="4" w:space="0" w:color="auto"/>
        <w:right w:val="single" w:sz="4" w:space="0" w:color="auto"/>
      </w:pBdr>
      <w:shd w:val="clear" w:color="000000" w:fill="00AF41"/>
      <w:spacing w:before="100" w:beforeAutospacing="1" w:after="100" w:afterAutospacing="1" w:line="240" w:lineRule="auto"/>
      <w:jc w:val="center"/>
      <w:textAlignment w:val="center"/>
    </w:pPr>
    <w:rPr>
      <w:rFonts w:eastAsia="Times New Roman" w:cs="Arial"/>
      <w:b/>
      <w:bCs/>
      <w:color w:val="FFFFFF"/>
      <w:sz w:val="20"/>
      <w:szCs w:val="20"/>
      <w:lang w:eastAsia="en-GB"/>
    </w:rPr>
  </w:style>
  <w:style w:type="paragraph" w:customStyle="1" w:styleId="xl77">
    <w:name w:val="xl77"/>
    <w:basedOn w:val="Normal"/>
    <w:rsid w:val="001D57F0"/>
    <w:pPr>
      <w:pBdr>
        <w:top w:val="single" w:sz="4" w:space="0" w:color="auto"/>
        <w:left w:val="single" w:sz="4" w:space="0" w:color="auto"/>
        <w:right w:val="single" w:sz="4" w:space="0" w:color="auto"/>
      </w:pBdr>
      <w:shd w:val="clear" w:color="000000" w:fill="00AF41"/>
      <w:spacing w:before="100" w:beforeAutospacing="1" w:after="100" w:afterAutospacing="1" w:line="240" w:lineRule="auto"/>
      <w:jc w:val="center"/>
    </w:pPr>
    <w:rPr>
      <w:rFonts w:eastAsia="Times New Roman" w:cs="Arial"/>
      <w:b/>
      <w:bCs/>
      <w:color w:val="FFFFFF"/>
      <w:sz w:val="20"/>
      <w:szCs w:val="20"/>
      <w:lang w:eastAsia="en-GB"/>
    </w:rPr>
  </w:style>
  <w:style w:type="paragraph" w:customStyle="1" w:styleId="xl78">
    <w:name w:val="xl78"/>
    <w:basedOn w:val="Normal"/>
    <w:rsid w:val="001D57F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eastAsia="en-GB"/>
    </w:rPr>
  </w:style>
  <w:style w:type="paragraph" w:customStyle="1" w:styleId="xl79">
    <w:name w:val="xl79"/>
    <w:basedOn w:val="Normal"/>
    <w:rsid w:val="001D57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eastAsia="en-GB"/>
    </w:rPr>
  </w:style>
  <w:style w:type="paragraph" w:customStyle="1" w:styleId="xl80">
    <w:name w:val="xl80"/>
    <w:basedOn w:val="Normal"/>
    <w:rsid w:val="001D57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eastAsia="en-GB"/>
    </w:rPr>
  </w:style>
  <w:style w:type="paragraph" w:customStyle="1" w:styleId="xl81">
    <w:name w:val="xl81"/>
    <w:basedOn w:val="Normal"/>
    <w:rsid w:val="001D57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eastAsia="en-GB"/>
    </w:rPr>
  </w:style>
  <w:style w:type="paragraph" w:customStyle="1" w:styleId="xl82">
    <w:name w:val="xl82"/>
    <w:basedOn w:val="Normal"/>
    <w:rsid w:val="001D57F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Arial"/>
      <w:sz w:val="20"/>
      <w:szCs w:val="20"/>
      <w:lang w:eastAsia="en-GB"/>
    </w:rPr>
  </w:style>
  <w:style w:type="paragraph" w:customStyle="1" w:styleId="Default">
    <w:name w:val="Default"/>
    <w:uiPriority w:val="99"/>
    <w:rsid w:val="00B71341"/>
    <w:pPr>
      <w:autoSpaceDE w:val="0"/>
      <w:autoSpaceDN w:val="0"/>
      <w:adjustRightInd w:val="0"/>
    </w:pPr>
    <w:rPr>
      <w:rFonts w:eastAsia="Times New Roman" w:cs="Arial"/>
      <w:color w:val="000000"/>
      <w:sz w:val="24"/>
      <w:szCs w:val="24"/>
      <w:lang w:val="en-US" w:eastAsia="en-US"/>
    </w:rPr>
  </w:style>
  <w:style w:type="character" w:customStyle="1" w:styleId="st1">
    <w:name w:val="st1"/>
    <w:basedOn w:val="DefaultParagraphFont"/>
    <w:rsid w:val="008A224D"/>
  </w:style>
  <w:style w:type="paragraph" w:customStyle="1" w:styleId="Indent1">
    <w:name w:val="Indent 1"/>
    <w:basedOn w:val="Normal"/>
    <w:rsid w:val="00F06B01"/>
    <w:pPr>
      <w:spacing w:before="0" w:after="0"/>
      <w:ind w:left="737" w:hanging="737"/>
      <w:jc w:val="both"/>
    </w:pPr>
    <w:rPr>
      <w:rFonts w:ascii="Times" w:eastAsia="Times New Roman" w:hAnsi="Times"/>
      <w:szCs w:val="20"/>
      <w:lang w:eastAsia="en-GB"/>
    </w:rPr>
  </w:style>
  <w:style w:type="paragraph" w:customStyle="1" w:styleId="TRLBodyText">
    <w:name w:val="TRL Body Text"/>
    <w:qFormat/>
    <w:rsid w:val="00F06B01"/>
    <w:pPr>
      <w:spacing w:after="120" w:line="280" w:lineRule="atLeast"/>
      <w:jc w:val="both"/>
    </w:pPr>
    <w:rPr>
      <w:rFonts w:ascii="Calibri" w:eastAsia="Times New Roman" w:hAnsi="Calibri"/>
      <w:sz w:val="24"/>
      <w:lang w:eastAsia="zh-CN"/>
    </w:rPr>
  </w:style>
  <w:style w:type="paragraph" w:customStyle="1" w:styleId="NumberedParagraph">
    <w:name w:val="Numbered Paragraph"/>
    <w:rsid w:val="00DF234B"/>
    <w:pPr>
      <w:tabs>
        <w:tab w:val="num" w:pos="720"/>
      </w:tabs>
      <w:spacing w:after="240"/>
      <w:ind w:left="720" w:hanging="363"/>
    </w:pPr>
    <w:rPr>
      <w:rFonts w:eastAsia="Times New Roman"/>
      <w:color w:val="000000"/>
      <w:sz w:val="24"/>
      <w:lang w:eastAsia="en-US"/>
    </w:rPr>
  </w:style>
  <w:style w:type="paragraph" w:customStyle="1" w:styleId="Indent2">
    <w:name w:val="Indent 2"/>
    <w:basedOn w:val="Normal"/>
    <w:rsid w:val="00D26AC8"/>
    <w:pPr>
      <w:spacing w:before="0" w:after="0"/>
      <w:ind w:left="1304" w:hanging="567"/>
      <w:jc w:val="both"/>
    </w:pPr>
    <w:rPr>
      <w:rFonts w:ascii="Times" w:eastAsia="Times New Roman" w:hAnsi="Times"/>
      <w:szCs w:val="20"/>
      <w:lang w:eastAsia="en-GB"/>
    </w:rPr>
  </w:style>
  <w:style w:type="paragraph" w:styleId="PlainText">
    <w:name w:val="Plain Text"/>
    <w:basedOn w:val="Normal"/>
    <w:link w:val="PlainTextChar"/>
    <w:uiPriority w:val="99"/>
    <w:semiHidden/>
    <w:unhideWhenUsed/>
    <w:rsid w:val="00696DED"/>
    <w:pPr>
      <w:spacing w:before="0" w:after="0" w:line="240" w:lineRule="auto"/>
    </w:pPr>
    <w:rPr>
      <w:rFonts w:ascii="Calibri" w:eastAsia="Calibri" w:hAnsi="Calibri"/>
      <w:sz w:val="22"/>
      <w:szCs w:val="21"/>
    </w:rPr>
  </w:style>
  <w:style w:type="character" w:customStyle="1" w:styleId="PlainTextChar">
    <w:name w:val="Plain Text Char"/>
    <w:basedOn w:val="DefaultParagraphFont"/>
    <w:link w:val="PlainText"/>
    <w:uiPriority w:val="99"/>
    <w:semiHidden/>
    <w:rsid w:val="00696DED"/>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24">
      <w:bodyDiv w:val="1"/>
      <w:marLeft w:val="0"/>
      <w:marRight w:val="0"/>
      <w:marTop w:val="0"/>
      <w:marBottom w:val="0"/>
      <w:divBdr>
        <w:top w:val="none" w:sz="0" w:space="0" w:color="auto"/>
        <w:left w:val="none" w:sz="0" w:space="0" w:color="auto"/>
        <w:bottom w:val="none" w:sz="0" w:space="0" w:color="auto"/>
        <w:right w:val="none" w:sz="0" w:space="0" w:color="auto"/>
      </w:divBdr>
    </w:div>
    <w:div w:id="85805425">
      <w:bodyDiv w:val="1"/>
      <w:marLeft w:val="0"/>
      <w:marRight w:val="0"/>
      <w:marTop w:val="0"/>
      <w:marBottom w:val="0"/>
      <w:divBdr>
        <w:top w:val="none" w:sz="0" w:space="0" w:color="auto"/>
        <w:left w:val="none" w:sz="0" w:space="0" w:color="auto"/>
        <w:bottom w:val="none" w:sz="0" w:space="0" w:color="auto"/>
        <w:right w:val="none" w:sz="0" w:space="0" w:color="auto"/>
      </w:divBdr>
    </w:div>
    <w:div w:id="104663237">
      <w:bodyDiv w:val="1"/>
      <w:marLeft w:val="0"/>
      <w:marRight w:val="0"/>
      <w:marTop w:val="0"/>
      <w:marBottom w:val="0"/>
      <w:divBdr>
        <w:top w:val="none" w:sz="0" w:space="0" w:color="auto"/>
        <w:left w:val="none" w:sz="0" w:space="0" w:color="auto"/>
        <w:bottom w:val="none" w:sz="0" w:space="0" w:color="auto"/>
        <w:right w:val="none" w:sz="0" w:space="0" w:color="auto"/>
      </w:divBdr>
    </w:div>
    <w:div w:id="224996169">
      <w:bodyDiv w:val="1"/>
      <w:marLeft w:val="0"/>
      <w:marRight w:val="0"/>
      <w:marTop w:val="0"/>
      <w:marBottom w:val="0"/>
      <w:divBdr>
        <w:top w:val="none" w:sz="0" w:space="0" w:color="auto"/>
        <w:left w:val="none" w:sz="0" w:space="0" w:color="auto"/>
        <w:bottom w:val="none" w:sz="0" w:space="0" w:color="auto"/>
        <w:right w:val="none" w:sz="0" w:space="0" w:color="auto"/>
      </w:divBdr>
    </w:div>
    <w:div w:id="267197953">
      <w:bodyDiv w:val="1"/>
      <w:marLeft w:val="0"/>
      <w:marRight w:val="0"/>
      <w:marTop w:val="0"/>
      <w:marBottom w:val="0"/>
      <w:divBdr>
        <w:top w:val="none" w:sz="0" w:space="0" w:color="auto"/>
        <w:left w:val="none" w:sz="0" w:space="0" w:color="auto"/>
        <w:bottom w:val="none" w:sz="0" w:space="0" w:color="auto"/>
        <w:right w:val="none" w:sz="0" w:space="0" w:color="auto"/>
      </w:divBdr>
    </w:div>
    <w:div w:id="278922009">
      <w:bodyDiv w:val="1"/>
      <w:marLeft w:val="0"/>
      <w:marRight w:val="0"/>
      <w:marTop w:val="0"/>
      <w:marBottom w:val="0"/>
      <w:divBdr>
        <w:top w:val="none" w:sz="0" w:space="0" w:color="auto"/>
        <w:left w:val="none" w:sz="0" w:space="0" w:color="auto"/>
        <w:bottom w:val="none" w:sz="0" w:space="0" w:color="auto"/>
        <w:right w:val="none" w:sz="0" w:space="0" w:color="auto"/>
      </w:divBdr>
    </w:div>
    <w:div w:id="346106850">
      <w:bodyDiv w:val="1"/>
      <w:marLeft w:val="0"/>
      <w:marRight w:val="0"/>
      <w:marTop w:val="0"/>
      <w:marBottom w:val="0"/>
      <w:divBdr>
        <w:top w:val="none" w:sz="0" w:space="0" w:color="auto"/>
        <w:left w:val="none" w:sz="0" w:space="0" w:color="auto"/>
        <w:bottom w:val="none" w:sz="0" w:space="0" w:color="auto"/>
        <w:right w:val="none" w:sz="0" w:space="0" w:color="auto"/>
      </w:divBdr>
    </w:div>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601302773">
      <w:bodyDiv w:val="1"/>
      <w:marLeft w:val="0"/>
      <w:marRight w:val="0"/>
      <w:marTop w:val="0"/>
      <w:marBottom w:val="0"/>
      <w:divBdr>
        <w:top w:val="none" w:sz="0" w:space="0" w:color="auto"/>
        <w:left w:val="none" w:sz="0" w:space="0" w:color="auto"/>
        <w:bottom w:val="none" w:sz="0" w:space="0" w:color="auto"/>
        <w:right w:val="none" w:sz="0" w:space="0" w:color="auto"/>
      </w:divBdr>
    </w:div>
    <w:div w:id="688028148">
      <w:bodyDiv w:val="1"/>
      <w:marLeft w:val="0"/>
      <w:marRight w:val="0"/>
      <w:marTop w:val="0"/>
      <w:marBottom w:val="0"/>
      <w:divBdr>
        <w:top w:val="none" w:sz="0" w:space="0" w:color="auto"/>
        <w:left w:val="none" w:sz="0" w:space="0" w:color="auto"/>
        <w:bottom w:val="none" w:sz="0" w:space="0" w:color="auto"/>
        <w:right w:val="none" w:sz="0" w:space="0" w:color="auto"/>
      </w:divBdr>
    </w:div>
    <w:div w:id="741413922">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800155825">
      <w:bodyDiv w:val="1"/>
      <w:marLeft w:val="0"/>
      <w:marRight w:val="0"/>
      <w:marTop w:val="0"/>
      <w:marBottom w:val="0"/>
      <w:divBdr>
        <w:top w:val="none" w:sz="0" w:space="0" w:color="auto"/>
        <w:left w:val="none" w:sz="0" w:space="0" w:color="auto"/>
        <w:bottom w:val="none" w:sz="0" w:space="0" w:color="auto"/>
        <w:right w:val="none" w:sz="0" w:space="0" w:color="auto"/>
      </w:divBdr>
    </w:div>
    <w:div w:id="914048773">
      <w:bodyDiv w:val="1"/>
      <w:marLeft w:val="0"/>
      <w:marRight w:val="0"/>
      <w:marTop w:val="0"/>
      <w:marBottom w:val="0"/>
      <w:divBdr>
        <w:top w:val="none" w:sz="0" w:space="0" w:color="auto"/>
        <w:left w:val="none" w:sz="0" w:space="0" w:color="auto"/>
        <w:bottom w:val="none" w:sz="0" w:space="0" w:color="auto"/>
        <w:right w:val="none" w:sz="0" w:space="0" w:color="auto"/>
      </w:divBdr>
    </w:div>
    <w:div w:id="972298334">
      <w:bodyDiv w:val="1"/>
      <w:marLeft w:val="0"/>
      <w:marRight w:val="0"/>
      <w:marTop w:val="0"/>
      <w:marBottom w:val="0"/>
      <w:divBdr>
        <w:top w:val="none" w:sz="0" w:space="0" w:color="auto"/>
        <w:left w:val="none" w:sz="0" w:space="0" w:color="auto"/>
        <w:bottom w:val="none" w:sz="0" w:space="0" w:color="auto"/>
        <w:right w:val="none" w:sz="0" w:space="0" w:color="auto"/>
      </w:divBdr>
    </w:div>
    <w:div w:id="1135220146">
      <w:bodyDiv w:val="1"/>
      <w:marLeft w:val="0"/>
      <w:marRight w:val="0"/>
      <w:marTop w:val="0"/>
      <w:marBottom w:val="0"/>
      <w:divBdr>
        <w:top w:val="none" w:sz="0" w:space="0" w:color="auto"/>
        <w:left w:val="none" w:sz="0" w:space="0" w:color="auto"/>
        <w:bottom w:val="none" w:sz="0" w:space="0" w:color="auto"/>
        <w:right w:val="none" w:sz="0" w:space="0" w:color="auto"/>
      </w:divBdr>
    </w:div>
    <w:div w:id="1139346641">
      <w:bodyDiv w:val="1"/>
      <w:marLeft w:val="0"/>
      <w:marRight w:val="0"/>
      <w:marTop w:val="0"/>
      <w:marBottom w:val="0"/>
      <w:divBdr>
        <w:top w:val="none" w:sz="0" w:space="0" w:color="auto"/>
        <w:left w:val="none" w:sz="0" w:space="0" w:color="auto"/>
        <w:bottom w:val="none" w:sz="0" w:space="0" w:color="auto"/>
        <w:right w:val="none" w:sz="0" w:space="0" w:color="auto"/>
      </w:divBdr>
    </w:div>
    <w:div w:id="1231575404">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369841721">
      <w:bodyDiv w:val="1"/>
      <w:marLeft w:val="0"/>
      <w:marRight w:val="0"/>
      <w:marTop w:val="0"/>
      <w:marBottom w:val="0"/>
      <w:divBdr>
        <w:top w:val="none" w:sz="0" w:space="0" w:color="auto"/>
        <w:left w:val="none" w:sz="0" w:space="0" w:color="auto"/>
        <w:bottom w:val="none" w:sz="0" w:space="0" w:color="auto"/>
        <w:right w:val="none" w:sz="0" w:space="0" w:color="auto"/>
      </w:divBdr>
    </w:div>
    <w:div w:id="1417702670">
      <w:bodyDiv w:val="1"/>
      <w:marLeft w:val="0"/>
      <w:marRight w:val="0"/>
      <w:marTop w:val="0"/>
      <w:marBottom w:val="0"/>
      <w:divBdr>
        <w:top w:val="none" w:sz="0" w:space="0" w:color="auto"/>
        <w:left w:val="none" w:sz="0" w:space="0" w:color="auto"/>
        <w:bottom w:val="none" w:sz="0" w:space="0" w:color="auto"/>
        <w:right w:val="none" w:sz="0" w:space="0" w:color="auto"/>
      </w:divBdr>
    </w:div>
    <w:div w:id="1438796992">
      <w:bodyDiv w:val="1"/>
      <w:marLeft w:val="0"/>
      <w:marRight w:val="0"/>
      <w:marTop w:val="0"/>
      <w:marBottom w:val="0"/>
      <w:divBdr>
        <w:top w:val="none" w:sz="0" w:space="0" w:color="auto"/>
        <w:left w:val="none" w:sz="0" w:space="0" w:color="auto"/>
        <w:bottom w:val="none" w:sz="0" w:space="0" w:color="auto"/>
        <w:right w:val="none" w:sz="0" w:space="0" w:color="auto"/>
      </w:divBdr>
    </w:div>
    <w:div w:id="1472089373">
      <w:bodyDiv w:val="1"/>
      <w:marLeft w:val="0"/>
      <w:marRight w:val="0"/>
      <w:marTop w:val="0"/>
      <w:marBottom w:val="0"/>
      <w:divBdr>
        <w:top w:val="none" w:sz="0" w:space="0" w:color="auto"/>
        <w:left w:val="none" w:sz="0" w:space="0" w:color="auto"/>
        <w:bottom w:val="none" w:sz="0" w:space="0" w:color="auto"/>
        <w:right w:val="none" w:sz="0" w:space="0" w:color="auto"/>
      </w:divBdr>
    </w:div>
    <w:div w:id="1474252682">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1040171">
      <w:bodyDiv w:val="1"/>
      <w:marLeft w:val="0"/>
      <w:marRight w:val="0"/>
      <w:marTop w:val="0"/>
      <w:marBottom w:val="0"/>
      <w:divBdr>
        <w:top w:val="none" w:sz="0" w:space="0" w:color="auto"/>
        <w:left w:val="none" w:sz="0" w:space="0" w:color="auto"/>
        <w:bottom w:val="none" w:sz="0" w:space="0" w:color="auto"/>
        <w:right w:val="none" w:sz="0" w:space="0" w:color="auto"/>
      </w:divBdr>
    </w:div>
    <w:div w:id="1666743736">
      <w:bodyDiv w:val="1"/>
      <w:marLeft w:val="0"/>
      <w:marRight w:val="0"/>
      <w:marTop w:val="0"/>
      <w:marBottom w:val="0"/>
      <w:divBdr>
        <w:top w:val="none" w:sz="0" w:space="0" w:color="auto"/>
        <w:left w:val="none" w:sz="0" w:space="0" w:color="auto"/>
        <w:bottom w:val="none" w:sz="0" w:space="0" w:color="auto"/>
        <w:right w:val="none" w:sz="0" w:space="0" w:color="auto"/>
      </w:divBdr>
    </w:div>
    <w:div w:id="1774590367">
      <w:bodyDiv w:val="1"/>
      <w:marLeft w:val="0"/>
      <w:marRight w:val="0"/>
      <w:marTop w:val="0"/>
      <w:marBottom w:val="0"/>
      <w:divBdr>
        <w:top w:val="none" w:sz="0" w:space="0" w:color="auto"/>
        <w:left w:val="none" w:sz="0" w:space="0" w:color="auto"/>
        <w:bottom w:val="none" w:sz="0" w:space="0" w:color="auto"/>
        <w:right w:val="none" w:sz="0" w:space="0" w:color="auto"/>
      </w:divBdr>
    </w:div>
    <w:div w:id="1803419932">
      <w:bodyDiv w:val="1"/>
      <w:marLeft w:val="0"/>
      <w:marRight w:val="0"/>
      <w:marTop w:val="0"/>
      <w:marBottom w:val="0"/>
      <w:divBdr>
        <w:top w:val="none" w:sz="0" w:space="0" w:color="auto"/>
        <w:left w:val="none" w:sz="0" w:space="0" w:color="auto"/>
        <w:bottom w:val="none" w:sz="0" w:space="0" w:color="auto"/>
        <w:right w:val="none" w:sz="0" w:space="0" w:color="auto"/>
      </w:divBdr>
    </w:div>
    <w:div w:id="2016373721">
      <w:bodyDiv w:val="1"/>
      <w:marLeft w:val="0"/>
      <w:marRight w:val="0"/>
      <w:marTop w:val="0"/>
      <w:marBottom w:val="0"/>
      <w:divBdr>
        <w:top w:val="none" w:sz="0" w:space="0" w:color="auto"/>
        <w:left w:val="none" w:sz="0" w:space="0" w:color="auto"/>
        <w:bottom w:val="none" w:sz="0" w:space="0" w:color="auto"/>
        <w:right w:val="none" w:sz="0" w:space="0" w:color="auto"/>
      </w:divBdr>
    </w:div>
    <w:div w:id="207893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hyperlink" Target="https://uk-air.defra.gov.uk/aqma/local-authorities?la_id=251" TargetMode="External"/><Relationship Id="rId39" Type="http://schemas.openxmlformats.org/officeDocument/2006/relationships/image" Target="media/image9.png"/><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image" Target="media/image12.png"/><Relationship Id="rId47" Type="http://schemas.openxmlformats.org/officeDocument/2006/relationships/chart" Target="charts/chart1.xml"/><Relationship Id="rId50" Type="http://schemas.openxmlformats.org/officeDocument/2006/relationships/hyperlink" Target="https://laqm.defra.gov.uk/bias-adjustment-factors/national-bias.html" TargetMode="External"/><Relationship Id="rId55" Type="http://schemas.openxmlformats.org/officeDocument/2006/relationships/footer" Target="footer13.xml"/><Relationship Id="rId63" Type="http://schemas.openxmlformats.org/officeDocument/2006/relationships/image" Target="media/image26.png"/><Relationship Id="rId68" Type="http://schemas.openxmlformats.org/officeDocument/2006/relationships/footer" Target="footer16.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yperlink" Target="http://www.highways.gov.uk/roads/road-projects/a19-testos-junction-improvements/"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footer" Target="footer11.xml"/><Relationship Id="rId58" Type="http://schemas.openxmlformats.org/officeDocument/2006/relationships/image" Target="media/image21.png"/><Relationship Id="rId66"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hyperlink" Target="https://www.southtyneside.gov.uk/media/40947/South-Tyneside-Physical-Activity-Strategy/pdf/South_Tyneside_Physical_Activity_Strategy_2019.pdf?m=636961083198130000" TargetMode="External"/><Relationship Id="rId36" Type="http://schemas.openxmlformats.org/officeDocument/2006/relationships/footer" Target="footer9.xml"/><Relationship Id="rId49" Type="http://schemas.openxmlformats.org/officeDocument/2006/relationships/image" Target="media/image17.png"/><Relationship Id="rId57" Type="http://schemas.openxmlformats.org/officeDocument/2006/relationships/image" Target="media/image20.png"/><Relationship Id="rId61"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cid:8D064B73-33D8-4795-ACA2-5242A70B9DBC" TargetMode="External"/><Relationship Id="rId31" Type="http://schemas.openxmlformats.org/officeDocument/2006/relationships/hyperlink" Target="http://www.northeastfreightpartnership.info/" TargetMode="External"/><Relationship Id="rId44" Type="http://schemas.openxmlformats.org/officeDocument/2006/relationships/image" Target="media/image14.png"/><Relationship Id="rId52" Type="http://schemas.openxmlformats.org/officeDocument/2006/relationships/image" Target="media/image19.png"/><Relationship Id="rId60" Type="http://schemas.openxmlformats.org/officeDocument/2006/relationships/image" Target="media/image23.png"/><Relationship Id="rId65" Type="http://schemas.openxmlformats.org/officeDocument/2006/relationships/image" Target="media/image2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vin.burrell@southtyneside.gov.uk" TargetMode="External"/><Relationship Id="rId22" Type="http://schemas.openxmlformats.org/officeDocument/2006/relationships/hyperlink" Target="https://uk-air.defra.gov.uk/aqma/local-authorities?la_id=251" TargetMode="External"/><Relationship Id="rId27" Type="http://schemas.openxmlformats.org/officeDocument/2006/relationships/footer" Target="footer5.xml"/><Relationship Id="rId30" Type="http://schemas.openxmlformats.org/officeDocument/2006/relationships/hyperlink" Target="http://www.northeastfreightpartnership.info/" TargetMode="External"/><Relationship Id="rId35" Type="http://schemas.openxmlformats.org/officeDocument/2006/relationships/image" Target="media/image6.png"/><Relationship Id="rId43" Type="http://schemas.openxmlformats.org/officeDocument/2006/relationships/image" Target="media/image13.png"/><Relationship Id="rId48" Type="http://schemas.openxmlformats.org/officeDocument/2006/relationships/footer" Target="footer10.xml"/><Relationship Id="rId56" Type="http://schemas.openxmlformats.org/officeDocument/2006/relationships/footer" Target="footer14.xml"/><Relationship Id="rId64" Type="http://schemas.openxmlformats.org/officeDocument/2006/relationships/image" Target="media/image27.png"/><Relationship Id="rId69" Type="http://schemas.openxmlformats.org/officeDocument/2006/relationships/hyperlink" Target="mailto:Geoff.Broughton@aqdm.co.uk" TargetMode="External"/><Relationship Id="rId8" Type="http://schemas.openxmlformats.org/officeDocument/2006/relationships/webSettings" Target="webSettings.xml"/><Relationship Id="rId51" Type="http://schemas.openxmlformats.org/officeDocument/2006/relationships/image" Target="media/image18.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hyperlink" Target="https://uk-air.defra.gov.uk/aqma/local-authorities?la_id=251" TargetMode="External"/><Relationship Id="rId33" Type="http://schemas.openxmlformats.org/officeDocument/2006/relationships/footer" Target="footer7.xml"/><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2.png"/><Relationship Id="rId67" Type="http://schemas.openxmlformats.org/officeDocument/2006/relationships/footer" Target="footer15.xml"/><Relationship Id="rId20" Type="http://schemas.openxmlformats.org/officeDocument/2006/relationships/footer" Target="footer3.xml"/><Relationship Id="rId41" Type="http://schemas.openxmlformats.org/officeDocument/2006/relationships/image" Target="media/image11.png"/><Relationship Id="rId54" Type="http://schemas.openxmlformats.org/officeDocument/2006/relationships/footer" Target="footer12.xml"/><Relationship Id="rId62" Type="http://schemas.openxmlformats.org/officeDocument/2006/relationships/image" Target="media/image25.png"/><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fingertips.phe.org.uk/search/asthma%23page/4/gid/1/pat/6/par/E12000001/ati/102/are/E08000023/iid/92481/age/288/sex/4" TargetMode="External"/><Relationship Id="rId2" Type="http://schemas.openxmlformats.org/officeDocument/2006/relationships/hyperlink" Target="https://fingertips.phe.org.uk/search/copd" TargetMode="External"/><Relationship Id="rId1" Type="http://schemas.openxmlformats.org/officeDocument/2006/relationships/hyperlink" Target="https://fingertips.phe.org.uk/profile/public-health-outcomes-framework/data" TargetMode="External"/><Relationship Id="rId4" Type="http://schemas.openxmlformats.org/officeDocument/2006/relationships/hyperlink" Target="https://fingertips.phe.org.uk/search/asthma%23page/4/gid/1/pat/6/par/E12000001/ati/102/are/E08000023/iid/92624/age/249/sex/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161586\Desktop\Branding\Document-templates\corporate-document-template-defra.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Annual Mean PM10</a:t>
            </a:r>
            <a:r>
              <a:rPr lang="en-GB" baseline="0"/>
              <a:t> monitoring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Sheet1!$D$3</c:f>
              <c:strCache>
                <c:ptCount val="1"/>
                <c:pt idx="0">
                  <c:v>2016</c:v>
                </c:pt>
              </c:strCache>
            </c:strRef>
          </c:tx>
          <c:spPr>
            <a:solidFill>
              <a:schemeClr val="accent2">
                <a:tint val="50000"/>
              </a:schemeClr>
            </a:solidFill>
            <a:ln>
              <a:noFill/>
            </a:ln>
            <a:effectLst/>
          </c:spPr>
          <c:invertIfNegative val="0"/>
          <c:cat>
            <c:strRef>
              <c:f>Sheet1!$C$4:$C$5</c:f>
              <c:strCache>
                <c:ptCount val="2"/>
                <c:pt idx="0">
                  <c:v>CM2</c:v>
                </c:pt>
                <c:pt idx="1">
                  <c:v>CM3</c:v>
                </c:pt>
              </c:strCache>
            </c:strRef>
          </c:cat>
          <c:val>
            <c:numRef>
              <c:f>Sheet1!$D$4:$D$5</c:f>
              <c:numCache>
                <c:formatCode>General</c:formatCode>
                <c:ptCount val="2"/>
                <c:pt idx="0">
                  <c:v>14.3</c:v>
                </c:pt>
                <c:pt idx="1">
                  <c:v>17.3</c:v>
                </c:pt>
              </c:numCache>
            </c:numRef>
          </c:val>
          <c:extLst>
            <c:ext xmlns:c16="http://schemas.microsoft.com/office/drawing/2014/chart" uri="{C3380CC4-5D6E-409C-BE32-E72D297353CC}">
              <c16:uniqueId val="{00000000-3A3E-4107-B526-9763CB38A00C}"/>
            </c:ext>
          </c:extLst>
        </c:ser>
        <c:ser>
          <c:idx val="1"/>
          <c:order val="1"/>
          <c:tx>
            <c:strRef>
              <c:f>Sheet1!$E$3</c:f>
              <c:strCache>
                <c:ptCount val="1"/>
                <c:pt idx="0">
                  <c:v>2017</c:v>
                </c:pt>
              </c:strCache>
            </c:strRef>
          </c:tx>
          <c:spPr>
            <a:solidFill>
              <a:schemeClr val="accent2">
                <a:tint val="70000"/>
              </a:schemeClr>
            </a:solidFill>
            <a:ln>
              <a:noFill/>
            </a:ln>
            <a:effectLst/>
          </c:spPr>
          <c:invertIfNegative val="0"/>
          <c:cat>
            <c:strRef>
              <c:f>Sheet1!$C$4:$C$5</c:f>
              <c:strCache>
                <c:ptCount val="2"/>
                <c:pt idx="0">
                  <c:v>CM2</c:v>
                </c:pt>
                <c:pt idx="1">
                  <c:v>CM3</c:v>
                </c:pt>
              </c:strCache>
            </c:strRef>
          </c:cat>
          <c:val>
            <c:numRef>
              <c:f>Sheet1!$E$4:$E$5</c:f>
              <c:numCache>
                <c:formatCode>General</c:formatCode>
                <c:ptCount val="2"/>
                <c:pt idx="0">
                  <c:v>15</c:v>
                </c:pt>
                <c:pt idx="1">
                  <c:v>18</c:v>
                </c:pt>
              </c:numCache>
            </c:numRef>
          </c:val>
          <c:extLst>
            <c:ext xmlns:c16="http://schemas.microsoft.com/office/drawing/2014/chart" uri="{C3380CC4-5D6E-409C-BE32-E72D297353CC}">
              <c16:uniqueId val="{00000001-3A3E-4107-B526-9763CB38A00C}"/>
            </c:ext>
          </c:extLst>
        </c:ser>
        <c:ser>
          <c:idx val="2"/>
          <c:order val="2"/>
          <c:tx>
            <c:strRef>
              <c:f>Sheet1!$F$3</c:f>
              <c:strCache>
                <c:ptCount val="1"/>
                <c:pt idx="0">
                  <c:v>2018</c:v>
                </c:pt>
              </c:strCache>
            </c:strRef>
          </c:tx>
          <c:spPr>
            <a:solidFill>
              <a:schemeClr val="accent2">
                <a:tint val="90000"/>
              </a:schemeClr>
            </a:solidFill>
            <a:ln>
              <a:noFill/>
            </a:ln>
            <a:effectLst/>
          </c:spPr>
          <c:invertIfNegative val="0"/>
          <c:cat>
            <c:strRef>
              <c:f>Sheet1!$C$4:$C$5</c:f>
              <c:strCache>
                <c:ptCount val="2"/>
                <c:pt idx="0">
                  <c:v>CM2</c:v>
                </c:pt>
                <c:pt idx="1">
                  <c:v>CM3</c:v>
                </c:pt>
              </c:strCache>
            </c:strRef>
          </c:cat>
          <c:val>
            <c:numRef>
              <c:f>Sheet1!$F$4:$F$5</c:f>
              <c:numCache>
                <c:formatCode>General</c:formatCode>
                <c:ptCount val="2"/>
                <c:pt idx="0">
                  <c:v>18</c:v>
                </c:pt>
                <c:pt idx="1">
                  <c:v>19</c:v>
                </c:pt>
              </c:numCache>
            </c:numRef>
          </c:val>
          <c:extLst>
            <c:ext xmlns:c16="http://schemas.microsoft.com/office/drawing/2014/chart" uri="{C3380CC4-5D6E-409C-BE32-E72D297353CC}">
              <c16:uniqueId val="{00000002-3A3E-4107-B526-9763CB38A00C}"/>
            </c:ext>
          </c:extLst>
        </c:ser>
        <c:ser>
          <c:idx val="3"/>
          <c:order val="3"/>
          <c:tx>
            <c:strRef>
              <c:f>Sheet1!$G$3</c:f>
              <c:strCache>
                <c:ptCount val="1"/>
                <c:pt idx="0">
                  <c:v>2019</c:v>
                </c:pt>
              </c:strCache>
            </c:strRef>
          </c:tx>
          <c:spPr>
            <a:solidFill>
              <a:schemeClr val="accent2">
                <a:shade val="90000"/>
              </a:schemeClr>
            </a:solidFill>
            <a:ln>
              <a:noFill/>
            </a:ln>
            <a:effectLst/>
          </c:spPr>
          <c:invertIfNegative val="0"/>
          <c:cat>
            <c:strRef>
              <c:f>Sheet1!$C$4:$C$5</c:f>
              <c:strCache>
                <c:ptCount val="2"/>
                <c:pt idx="0">
                  <c:v>CM2</c:v>
                </c:pt>
                <c:pt idx="1">
                  <c:v>CM3</c:v>
                </c:pt>
              </c:strCache>
            </c:strRef>
          </c:cat>
          <c:val>
            <c:numRef>
              <c:f>Sheet1!$G$4:$G$5</c:f>
              <c:numCache>
                <c:formatCode>General</c:formatCode>
                <c:ptCount val="2"/>
                <c:pt idx="0">
                  <c:v>19</c:v>
                </c:pt>
                <c:pt idx="1">
                  <c:v>19</c:v>
                </c:pt>
              </c:numCache>
            </c:numRef>
          </c:val>
          <c:extLst>
            <c:ext xmlns:c16="http://schemas.microsoft.com/office/drawing/2014/chart" uri="{C3380CC4-5D6E-409C-BE32-E72D297353CC}">
              <c16:uniqueId val="{00000003-3A3E-4107-B526-9763CB38A00C}"/>
            </c:ext>
          </c:extLst>
        </c:ser>
        <c:ser>
          <c:idx val="4"/>
          <c:order val="4"/>
          <c:tx>
            <c:strRef>
              <c:f>Sheet1!$H$3</c:f>
              <c:strCache>
                <c:ptCount val="1"/>
                <c:pt idx="0">
                  <c:v>2020</c:v>
                </c:pt>
              </c:strCache>
            </c:strRef>
          </c:tx>
          <c:spPr>
            <a:solidFill>
              <a:schemeClr val="accent2">
                <a:shade val="70000"/>
              </a:schemeClr>
            </a:solidFill>
            <a:ln>
              <a:noFill/>
            </a:ln>
            <a:effectLst/>
          </c:spPr>
          <c:invertIfNegative val="0"/>
          <c:cat>
            <c:strRef>
              <c:f>Sheet1!$C$4:$C$5</c:f>
              <c:strCache>
                <c:ptCount val="2"/>
                <c:pt idx="0">
                  <c:v>CM2</c:v>
                </c:pt>
                <c:pt idx="1">
                  <c:v>CM3</c:v>
                </c:pt>
              </c:strCache>
            </c:strRef>
          </c:cat>
          <c:val>
            <c:numRef>
              <c:f>Sheet1!$H$4:$H$5</c:f>
              <c:numCache>
                <c:formatCode>General</c:formatCode>
                <c:ptCount val="2"/>
                <c:pt idx="0">
                  <c:v>18</c:v>
                </c:pt>
                <c:pt idx="1">
                  <c:v>14</c:v>
                </c:pt>
              </c:numCache>
            </c:numRef>
          </c:val>
          <c:extLst>
            <c:ext xmlns:c16="http://schemas.microsoft.com/office/drawing/2014/chart" uri="{C3380CC4-5D6E-409C-BE32-E72D297353CC}">
              <c16:uniqueId val="{00000004-3A3E-4107-B526-9763CB38A00C}"/>
            </c:ext>
          </c:extLst>
        </c:ser>
        <c:dLbls>
          <c:showLegendKey val="0"/>
          <c:showVal val="0"/>
          <c:showCatName val="0"/>
          <c:showSerName val="0"/>
          <c:showPercent val="0"/>
          <c:showBubbleSize val="0"/>
        </c:dLbls>
        <c:gapWidth val="269"/>
        <c:axId val="665718136"/>
        <c:axId val="665720104"/>
      </c:barChart>
      <c:lineChart>
        <c:grouping val="standard"/>
        <c:varyColors val="0"/>
        <c:ser>
          <c:idx val="5"/>
          <c:order val="5"/>
          <c:tx>
            <c:strRef>
              <c:f>Sheet1!$I$3</c:f>
              <c:strCache>
                <c:ptCount val="1"/>
                <c:pt idx="0">
                  <c:v>Air Quality Objective</c:v>
                </c:pt>
              </c:strCache>
            </c:strRef>
          </c:tx>
          <c:spPr>
            <a:ln w="28575" cap="rnd">
              <a:solidFill>
                <a:schemeClr val="accent2">
                  <a:shade val="50000"/>
                </a:schemeClr>
              </a:solidFill>
              <a:round/>
            </a:ln>
            <a:effectLst/>
          </c:spPr>
          <c:marker>
            <c:symbol val="none"/>
          </c:marker>
          <c:cat>
            <c:strRef>
              <c:f>Sheet1!$C$4:$C$5</c:f>
              <c:strCache>
                <c:ptCount val="2"/>
                <c:pt idx="0">
                  <c:v>CM2</c:v>
                </c:pt>
                <c:pt idx="1">
                  <c:v>CM3</c:v>
                </c:pt>
              </c:strCache>
            </c:strRef>
          </c:cat>
          <c:val>
            <c:numRef>
              <c:f>Sheet1!$I$4:$I$5</c:f>
              <c:numCache>
                <c:formatCode>General</c:formatCode>
                <c:ptCount val="2"/>
                <c:pt idx="0">
                  <c:v>40</c:v>
                </c:pt>
                <c:pt idx="1">
                  <c:v>40</c:v>
                </c:pt>
              </c:numCache>
            </c:numRef>
          </c:val>
          <c:smooth val="0"/>
          <c:extLst>
            <c:ext xmlns:c16="http://schemas.microsoft.com/office/drawing/2014/chart" uri="{C3380CC4-5D6E-409C-BE32-E72D297353CC}">
              <c16:uniqueId val="{00000005-3A3E-4107-B526-9763CB38A00C}"/>
            </c:ext>
          </c:extLst>
        </c:ser>
        <c:dLbls>
          <c:showLegendKey val="0"/>
          <c:showVal val="0"/>
          <c:showCatName val="0"/>
          <c:showSerName val="0"/>
          <c:showPercent val="0"/>
          <c:showBubbleSize val="0"/>
        </c:dLbls>
        <c:marker val="1"/>
        <c:smooth val="0"/>
        <c:axId val="665718136"/>
        <c:axId val="665720104"/>
      </c:lineChart>
      <c:catAx>
        <c:axId val="665718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Site 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720104"/>
        <c:crosses val="autoZero"/>
        <c:auto val="1"/>
        <c:lblAlgn val="ctr"/>
        <c:lblOffset val="100"/>
        <c:noMultiLvlLbl val="0"/>
      </c:catAx>
      <c:valAx>
        <c:axId val="665720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Annual Mean PM10</a:t>
                </a:r>
                <a:r>
                  <a:rPr lang="en-GB" baseline="0"/>
                  <a:t> (</a:t>
                </a:r>
                <a:r>
                  <a:rPr lang="en-GB" sz="1000" b="0" i="0" u="none" strike="noStrike" baseline="0">
                    <a:effectLst/>
                  </a:rPr>
                  <a:t>µg/m</a:t>
                </a:r>
                <a:r>
                  <a:rPr lang="en-GB" sz="1000" b="0" i="0" u="none" strike="noStrike" baseline="30000">
                    <a:effectLst/>
                  </a:rPr>
                  <a:t>3</a:t>
                </a:r>
                <a:r>
                  <a:rPr lang="en-GB" sz="1000" b="0" i="0" u="none" strike="noStrike" baseline="0">
                    <a:effectLst/>
                  </a:rPr>
                  <a:t>)</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718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BC00EC81C9C419636B3D9E3E6C488" ma:contentTypeVersion="7" ma:contentTypeDescription="Create a new document." ma:contentTypeScope="" ma:versionID="7c72b0f4379cc52a87bcaffdbac1b1bc">
  <xsd:schema xmlns:xsd="http://www.w3.org/2001/XMLSchema" xmlns:xs="http://www.w3.org/2001/XMLSchema" xmlns:p="http://schemas.microsoft.com/office/2006/metadata/properties" xmlns:ns3="caf13e2b-15e2-4e7d-9818-c12fcb777e0f" xmlns:ns4="af80b96a-f593-4914-a4af-9d96e108f18d" targetNamespace="http://schemas.microsoft.com/office/2006/metadata/properties" ma:root="true" ma:fieldsID="72743c24ae53553de052345f5ad02b74" ns3:_="" ns4:_="">
    <xsd:import namespace="caf13e2b-15e2-4e7d-9818-c12fcb777e0f"/>
    <xsd:import namespace="af80b96a-f593-4914-a4af-9d96e108f18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13e2b-15e2-4e7d-9818-c12fcb777e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80b96a-f593-4914-a4af-9d96e108f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DF3824-870E-4C07-86C0-C09809ED4C55}">
  <ds:schemaRefs>
    <ds:schemaRef ds:uri="http://schemas.microsoft.com/sharepoint/v3/contenttype/forms"/>
  </ds:schemaRefs>
</ds:datastoreItem>
</file>

<file path=customXml/itemProps3.xml><?xml version="1.0" encoding="utf-8"?>
<ds:datastoreItem xmlns:ds="http://schemas.openxmlformats.org/officeDocument/2006/customXml" ds:itemID="{5B957B29-EBCF-4AA3-96F8-5E328BE5B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13e2b-15e2-4e7d-9818-c12fcb777e0f"/>
    <ds:schemaRef ds:uri="af80b96a-f593-4914-a4af-9d96e108f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7E72F6-D1C8-4C56-8DA2-00574ECC3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corporate-document-template-defra.dotx</Template>
  <TotalTime>1</TotalTime>
  <Pages>1</Pages>
  <Words>14999</Words>
  <Characters>85498</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Manager/>
  <Company>Environment Agency</Company>
  <LinksUpToDate>false</LinksUpToDate>
  <CharactersWithSpaces>100297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BENTLEY</dc:creator>
  <cp:lastModifiedBy>Samantha Jobson</cp:lastModifiedBy>
  <cp:revision>2</cp:revision>
  <cp:lastPrinted>2020-11-03T21:02:00Z</cp:lastPrinted>
  <dcterms:created xsi:type="dcterms:W3CDTF">2022-05-11T15:30:00Z</dcterms:created>
  <dcterms:modified xsi:type="dcterms:W3CDTF">2022-05-11T15:30:00Z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0x010100E2DBC00EC81C9C419636B3D9E3E6C488</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Distribution">
    <vt:lpwstr>9;#Internal Core Defra|836ac8df-3ab9-4c95-a1f0-07f825804935</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HOSiteType">
    <vt:lpwstr>10;#Team|ff0485df-0575-416f-802f-e999165821b7</vt:lpwstr>
  </property>
  <property fmtid="{D5CDD505-2E9C-101B-9397-08002B2CF9AE}" pid="11" name="OrganisationalUnit">
    <vt:lpwstr>8;#Core Defra|026223dd-2e56-4615-868d-7c5bfd566810</vt:lpwstr>
  </property>
  <property fmtid="{D5CDD505-2E9C-101B-9397-08002B2CF9AE}" pid="12" name="Directorate">
    <vt:lpwstr/>
  </property>
  <property fmtid="{D5CDD505-2E9C-101B-9397-08002B2CF9AE}" pid="13" name="SecurityClassification">
    <vt:lpwstr/>
  </property>
</Properties>
</file>